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30A7" w14:textId="5D6F1098" w:rsidR="008207C0" w:rsidRDefault="00B622EE" w:rsidP="00B622EE">
      <w:pPr>
        <w:pStyle w:val="Heading1"/>
      </w:pPr>
      <w:r>
        <w:t>Textile specific REACH restrictions</w:t>
      </w:r>
    </w:p>
    <w:p w14:paraId="0BCD5F6B" w14:textId="5A355739" w:rsidR="00B622EE" w:rsidRDefault="00B622EE" w:rsidP="002C279F">
      <w:pPr>
        <w:jc w:val="both"/>
      </w:pPr>
      <w:r>
        <w:t>In this document we list textile specific restrictions</w:t>
      </w:r>
      <w:r w:rsidR="002C279F">
        <w:t xml:space="preserve"> of substances t</w:t>
      </w:r>
      <w:r w:rsidR="006957E4">
        <w:t>h</w:t>
      </w:r>
      <w:r w:rsidR="002C279F">
        <w:t xml:space="preserve">at are listed in Annex XVII of the </w:t>
      </w:r>
      <w:hyperlink r:id="rId5" w:history="1">
        <w:r w:rsidR="002C279F" w:rsidRPr="006522D3">
          <w:rPr>
            <w:rStyle w:val="Hyperlink"/>
          </w:rPr>
          <w:t>REACH</w:t>
        </w:r>
      </w:hyperlink>
      <w:r w:rsidR="002C279F">
        <w:t xml:space="preserve"> regulation. We want to inform you that this list may not be complete and that the official REACH regulation is the only legally binding document. The entire </w:t>
      </w:r>
      <w:r w:rsidR="00766B41">
        <w:t>Annex XVII</w:t>
      </w:r>
      <w:r w:rsidR="007A0432">
        <w:t xml:space="preserve"> with further substance specific information can be found on </w:t>
      </w:r>
      <w:hyperlink r:id="rId6" w:history="1">
        <w:r w:rsidR="007A0432" w:rsidRPr="007A0432">
          <w:rPr>
            <w:rStyle w:val="Hyperlink"/>
          </w:rPr>
          <w:t>ECHA CH</w:t>
        </w:r>
        <w:r w:rsidR="007A0432" w:rsidRPr="007A0432">
          <w:rPr>
            <w:rStyle w:val="Hyperlink"/>
          </w:rPr>
          <w:t>E</w:t>
        </w:r>
        <w:r w:rsidR="007A0432" w:rsidRPr="007A0432">
          <w:rPr>
            <w:rStyle w:val="Hyperlink"/>
          </w:rPr>
          <w:t>M</w:t>
        </w:r>
      </w:hyperlink>
      <w:r w:rsidR="007A0432">
        <w:t>.</w:t>
      </w:r>
    </w:p>
    <w:p w14:paraId="33F5C7A6" w14:textId="77777777" w:rsidR="00766B41" w:rsidRDefault="00766B41" w:rsidP="002C279F">
      <w:pPr>
        <w:jc w:val="both"/>
      </w:pPr>
    </w:p>
    <w:p w14:paraId="11859235" w14:textId="78B80924" w:rsidR="001C3F71" w:rsidRDefault="001C3F71" w:rsidP="001C3F71">
      <w:pPr>
        <w:pStyle w:val="Heading2"/>
      </w:pPr>
      <w:hyperlink r:id="rId7" w:history="1">
        <w:r w:rsidRPr="00460DEB">
          <w:rPr>
            <w:rStyle w:val="Hyperlink"/>
          </w:rPr>
          <w:t>COMMISSION REGULATION (EU) 20</w:t>
        </w:r>
        <w:r w:rsidRPr="00460DEB">
          <w:rPr>
            <w:rStyle w:val="Hyperlink"/>
          </w:rPr>
          <w:t>1</w:t>
        </w:r>
        <w:r w:rsidRPr="00460DEB">
          <w:rPr>
            <w:rStyle w:val="Hyperlink"/>
          </w:rPr>
          <w:t>8/1513</w:t>
        </w:r>
      </w:hyperlink>
    </w:p>
    <w:p w14:paraId="5FD2CEBA" w14:textId="76BAC04D" w:rsidR="001C3F71" w:rsidRDefault="001C3F71" w:rsidP="001C3F71">
      <w:r w:rsidRPr="001C3F71">
        <w:t>Annex XVII to Regulation (EC) No 1907/2006 is amended as follows:</w:t>
      </w:r>
    </w:p>
    <w:p w14:paraId="58D84F70" w14:textId="48E00DC3" w:rsidR="0075728A" w:rsidRDefault="0075728A" w:rsidP="0075728A">
      <w:r>
        <w:t>(1) The following entry is added:</w:t>
      </w:r>
    </w:p>
    <w:tbl>
      <w:tblPr>
        <w:tblStyle w:val="TableGrid"/>
        <w:tblW w:w="0" w:type="auto"/>
        <w:tblLook w:val="04A0" w:firstRow="1" w:lastRow="0" w:firstColumn="1" w:lastColumn="0" w:noHBand="0" w:noVBand="1"/>
      </w:tblPr>
      <w:tblGrid>
        <w:gridCol w:w="2122"/>
        <w:gridCol w:w="6894"/>
      </w:tblGrid>
      <w:tr w:rsidR="001C3F71" w14:paraId="7E633C96" w14:textId="77777777" w:rsidTr="001C3F71">
        <w:tc>
          <w:tcPr>
            <w:tcW w:w="2122" w:type="dxa"/>
          </w:tcPr>
          <w:p w14:paraId="3166FCD7" w14:textId="39CC16EA" w:rsidR="001C3F71" w:rsidRDefault="001C3F71" w:rsidP="00A42DEB">
            <w:pPr>
              <w:jc w:val="both"/>
            </w:pPr>
            <w:r>
              <w:t xml:space="preserve">The substances listed in column 1 of the following table </w:t>
            </w:r>
          </w:p>
        </w:tc>
        <w:tc>
          <w:tcPr>
            <w:tcW w:w="6894" w:type="dxa"/>
          </w:tcPr>
          <w:p w14:paraId="0D2F105C" w14:textId="0377C4DA" w:rsidR="001C3F71" w:rsidRDefault="001C3F71" w:rsidP="001C3F71">
            <w:pPr>
              <w:jc w:val="both"/>
            </w:pPr>
            <w:r>
              <w:t>1. Shall not be placed on the market after 1 November 2020 in any of the following:</w:t>
            </w:r>
          </w:p>
          <w:p w14:paraId="61936147" w14:textId="77777777" w:rsidR="001C3F71" w:rsidRDefault="001C3F71" w:rsidP="00BA2A8D">
            <w:pPr>
              <w:ind w:left="720"/>
              <w:jc w:val="both"/>
            </w:pPr>
            <w:r>
              <w:t xml:space="preserve">(a) </w:t>
            </w:r>
            <w:r w:rsidRPr="008416FF">
              <w:rPr>
                <w:b/>
                <w:bCs/>
              </w:rPr>
              <w:t xml:space="preserve">clothing or related </w:t>
            </w:r>
            <w:proofErr w:type="gramStart"/>
            <w:r w:rsidRPr="008416FF">
              <w:rPr>
                <w:b/>
                <w:bCs/>
              </w:rPr>
              <w:t>accessories</w:t>
            </w:r>
            <w:r>
              <w:t>;</w:t>
            </w:r>
            <w:proofErr w:type="gramEnd"/>
          </w:p>
          <w:p w14:paraId="7CC8A351" w14:textId="5D9A23E6" w:rsidR="001C3F71" w:rsidRDefault="001C3F71" w:rsidP="00BA2A8D">
            <w:pPr>
              <w:ind w:left="720"/>
              <w:jc w:val="both"/>
            </w:pPr>
            <w:r>
              <w:t xml:space="preserve">(b) </w:t>
            </w:r>
            <w:r w:rsidRPr="008416FF">
              <w:rPr>
                <w:b/>
                <w:bCs/>
              </w:rPr>
              <w:t>textiles</w:t>
            </w:r>
            <w:r>
              <w:t xml:space="preserve"> </w:t>
            </w:r>
            <w:r w:rsidRPr="008416FF">
              <w:rPr>
                <w:b/>
                <w:bCs/>
              </w:rPr>
              <w:t>other than clothing</w:t>
            </w:r>
            <w:r>
              <w:t xml:space="preserve"> which, under normal or reasonably foreseeable conditions of use, </w:t>
            </w:r>
            <w:proofErr w:type="gramStart"/>
            <w:r>
              <w:t>come into contact with</w:t>
            </w:r>
            <w:proofErr w:type="gramEnd"/>
            <w:r>
              <w:t xml:space="preserve"> human skin to an extent </w:t>
            </w:r>
            <w:proofErr w:type="gramStart"/>
            <w:r>
              <w:t>similar to</w:t>
            </w:r>
            <w:proofErr w:type="gramEnd"/>
            <w:r>
              <w:t xml:space="preserve"> </w:t>
            </w:r>
            <w:proofErr w:type="gramStart"/>
            <w:r>
              <w:t>clothing;</w:t>
            </w:r>
            <w:proofErr w:type="gramEnd"/>
          </w:p>
          <w:p w14:paraId="55A09CFD" w14:textId="68027C2B" w:rsidR="001C3F71" w:rsidRDefault="001C3F71" w:rsidP="00BA2A8D">
            <w:pPr>
              <w:ind w:left="720"/>
              <w:jc w:val="both"/>
            </w:pPr>
            <w:r>
              <w:t xml:space="preserve">(c) </w:t>
            </w:r>
            <w:r w:rsidRPr="007C5AB5">
              <w:rPr>
                <w:b/>
                <w:bCs/>
              </w:rPr>
              <w:t>footwear</w:t>
            </w:r>
            <w:r>
              <w:t>; if the clothing, related accessory, textile other than clothing or footwear is for use by consumers and the substance is present in a concentration, measured in homogeneous material, equal to or greater than that specified for that substance in Appendix</w:t>
            </w:r>
            <w:r w:rsidR="007A0432">
              <w:t xml:space="preserve"> 12</w:t>
            </w:r>
            <w:r>
              <w:t>.</w:t>
            </w:r>
          </w:p>
          <w:p w14:paraId="445655D6" w14:textId="77777777" w:rsidR="00BA2A8D" w:rsidRDefault="00BA2A8D" w:rsidP="00BA2A8D">
            <w:pPr>
              <w:ind w:left="720"/>
              <w:jc w:val="both"/>
            </w:pPr>
          </w:p>
          <w:p w14:paraId="486713BB" w14:textId="606063B2" w:rsidR="001C3F71" w:rsidRDefault="001C3F71" w:rsidP="001C3F71">
            <w:pPr>
              <w:jc w:val="both"/>
            </w:pPr>
            <w:r>
              <w:t>2. By way of derogation, in relation to the placing on the market of</w:t>
            </w:r>
            <w:r w:rsidR="006C0D38">
              <w:t xml:space="preserve"> </w:t>
            </w:r>
            <w:r>
              <w:t xml:space="preserve">formaldehyde [CAS No 50-00-0] in </w:t>
            </w:r>
            <w:r w:rsidRPr="007C5AB5">
              <w:rPr>
                <w:b/>
                <w:bCs/>
              </w:rPr>
              <w:t>jackets, coats or upholstery</w:t>
            </w:r>
            <w:r>
              <w:t>, the relevant concentration for the purposes of paragraph 1 shall</w:t>
            </w:r>
            <w:r w:rsidR="00BA2A8D">
              <w:t xml:space="preserve"> </w:t>
            </w:r>
            <w:r>
              <w:t>be 300 mg/kg during the period between 1 November 2020 and 1 November 2023. The concentration specified in Appendix 12 shall</w:t>
            </w:r>
          </w:p>
          <w:p w14:paraId="356CD263" w14:textId="77777777" w:rsidR="001C3F71" w:rsidRDefault="001C3F71" w:rsidP="001C3F71">
            <w:pPr>
              <w:jc w:val="both"/>
            </w:pPr>
            <w:r>
              <w:t>apply thereafter.</w:t>
            </w:r>
          </w:p>
          <w:p w14:paraId="76786F6F" w14:textId="77777777" w:rsidR="00BA2A8D" w:rsidRDefault="00BA2A8D" w:rsidP="001C3F71">
            <w:pPr>
              <w:jc w:val="both"/>
            </w:pPr>
          </w:p>
          <w:p w14:paraId="2ACFF78F" w14:textId="77777777" w:rsidR="001C3F71" w:rsidRDefault="001C3F71" w:rsidP="001C3F71">
            <w:pPr>
              <w:jc w:val="both"/>
            </w:pPr>
            <w:r>
              <w:t>3. Paragraph 1 shall not apply to:</w:t>
            </w:r>
          </w:p>
          <w:p w14:paraId="513EA68A" w14:textId="3672D272" w:rsidR="001C3F71" w:rsidRDefault="001C3F71" w:rsidP="00BA2A8D">
            <w:pPr>
              <w:ind w:left="720"/>
              <w:jc w:val="both"/>
            </w:pPr>
            <w:r>
              <w:t xml:space="preserve">(a) clothing, related accessories or footwear, or parts of clothing, related accessories or footwear, made exclusively of natural leather, fur or </w:t>
            </w:r>
            <w:proofErr w:type="gramStart"/>
            <w:r>
              <w:t>hide;</w:t>
            </w:r>
            <w:proofErr w:type="gramEnd"/>
          </w:p>
          <w:p w14:paraId="6B87E4F5" w14:textId="77777777" w:rsidR="001C3F71" w:rsidRDefault="001C3F71" w:rsidP="00BA2A8D">
            <w:pPr>
              <w:ind w:left="720"/>
              <w:jc w:val="both"/>
            </w:pPr>
            <w:r>
              <w:t xml:space="preserve">(b) non-textile fasteners and non-textile decorative </w:t>
            </w:r>
            <w:proofErr w:type="gramStart"/>
            <w:r>
              <w:t>attachments;</w:t>
            </w:r>
            <w:proofErr w:type="gramEnd"/>
          </w:p>
          <w:p w14:paraId="353E1CA9" w14:textId="13D8EAF3" w:rsidR="001C3F71" w:rsidRDefault="001C3F71" w:rsidP="00BA2A8D">
            <w:pPr>
              <w:ind w:left="720"/>
              <w:jc w:val="both"/>
            </w:pPr>
            <w:r>
              <w:t>(c) second-hand clothing, related accessories, textiles other than clothing or footwear</w:t>
            </w:r>
          </w:p>
          <w:p w14:paraId="2F264391" w14:textId="14CBB306" w:rsidR="001C3F71" w:rsidRDefault="001C3F71" w:rsidP="00BA2A8D">
            <w:pPr>
              <w:ind w:left="720"/>
              <w:jc w:val="both"/>
            </w:pPr>
            <w:r>
              <w:t>(d) wall-to-wall carpets and textile floor coverings for indoor use, rugs</w:t>
            </w:r>
            <w:r w:rsidR="00BA2A8D">
              <w:t xml:space="preserve"> </w:t>
            </w:r>
            <w:r>
              <w:t>and runners.</w:t>
            </w:r>
          </w:p>
          <w:p w14:paraId="18EC1F61" w14:textId="77777777" w:rsidR="00BA2A8D" w:rsidRDefault="00BA2A8D" w:rsidP="00BA2A8D">
            <w:pPr>
              <w:ind w:left="720"/>
              <w:jc w:val="both"/>
            </w:pPr>
          </w:p>
          <w:p w14:paraId="0DC7C031" w14:textId="69D5CEE1" w:rsidR="001C3F71" w:rsidRDefault="001C3F71" w:rsidP="001C3F71">
            <w:pPr>
              <w:jc w:val="both"/>
            </w:pPr>
            <w:r>
              <w:t>4. Paragraph 1 shall not apply to clothing, related accessories, textiles</w:t>
            </w:r>
            <w:r w:rsidR="00BA2A8D">
              <w:t xml:space="preserve"> </w:t>
            </w:r>
            <w:r>
              <w:t>other than clothing, or footwear within the scope of Regulation</w:t>
            </w:r>
            <w:r w:rsidR="00BA2A8D">
              <w:t xml:space="preserve"> </w:t>
            </w:r>
            <w:r>
              <w:t>(EU) 2016/425 of the European Parliament and of the Council (*) or</w:t>
            </w:r>
            <w:r w:rsidR="00BA2A8D">
              <w:t xml:space="preserve"> </w:t>
            </w:r>
            <w:r>
              <w:t>Regulation (EU) 2017/745 of the European Parliament and of the</w:t>
            </w:r>
            <w:r w:rsidR="00BA2A8D">
              <w:t xml:space="preserve"> </w:t>
            </w:r>
            <w:r>
              <w:t>Council (**).</w:t>
            </w:r>
          </w:p>
          <w:p w14:paraId="2128B315" w14:textId="77777777" w:rsidR="00BA2A8D" w:rsidRDefault="00BA2A8D" w:rsidP="001C3F71">
            <w:pPr>
              <w:jc w:val="both"/>
            </w:pPr>
          </w:p>
          <w:p w14:paraId="72914790" w14:textId="747733DB" w:rsidR="001C3F71" w:rsidRDefault="001C3F71" w:rsidP="001C3F71">
            <w:pPr>
              <w:jc w:val="both"/>
            </w:pPr>
            <w:r>
              <w:t>5. Paragraph 1(b) shall not apply to disposable textiles. ‘Disposable textiles’</w:t>
            </w:r>
            <w:r w:rsidR="00BA2A8D">
              <w:t xml:space="preserve"> </w:t>
            </w:r>
            <w:r>
              <w:t>means textiles that are designed to be used only once or for a limited</w:t>
            </w:r>
            <w:r w:rsidR="00BA2A8D">
              <w:t xml:space="preserve"> </w:t>
            </w:r>
            <w:r>
              <w:t>time and are not intended for subsequent use for the same or a similar</w:t>
            </w:r>
            <w:r w:rsidR="00BA2A8D">
              <w:t xml:space="preserve"> </w:t>
            </w:r>
            <w:r>
              <w:t>purpose.</w:t>
            </w:r>
          </w:p>
          <w:p w14:paraId="6C2FBCF6" w14:textId="77777777" w:rsidR="00BA2A8D" w:rsidRDefault="00BA2A8D" w:rsidP="001C3F71">
            <w:pPr>
              <w:jc w:val="both"/>
            </w:pPr>
          </w:p>
          <w:p w14:paraId="482CC694" w14:textId="2FDF06D3" w:rsidR="001C3F71" w:rsidRDefault="001C3F71" w:rsidP="001C3F71">
            <w:pPr>
              <w:jc w:val="both"/>
            </w:pPr>
            <w:r>
              <w:t>6. Paragraphs 1 and 2 shall apply without prejudice to the application of</w:t>
            </w:r>
            <w:r w:rsidR="00BA2A8D">
              <w:t xml:space="preserve"> </w:t>
            </w:r>
            <w:r>
              <w:t>any stricter restrictions set out in this Annex or in other applicable</w:t>
            </w:r>
            <w:r w:rsidR="00BA2A8D">
              <w:t xml:space="preserve"> </w:t>
            </w:r>
            <w:r>
              <w:t>Union legislation.</w:t>
            </w:r>
          </w:p>
          <w:p w14:paraId="53CAF503" w14:textId="77777777" w:rsidR="00BA2A8D" w:rsidRDefault="00BA2A8D" w:rsidP="001C3F71">
            <w:pPr>
              <w:jc w:val="both"/>
            </w:pPr>
          </w:p>
          <w:p w14:paraId="1F763360" w14:textId="4756F2D9" w:rsidR="001C3F71" w:rsidRDefault="001C3F71" w:rsidP="001C3F71">
            <w:pPr>
              <w:jc w:val="both"/>
            </w:pPr>
            <w:r>
              <w:t>7. The Commission shall review the exemption in paragraph 3(d) and, if</w:t>
            </w:r>
            <w:r w:rsidR="00BA2A8D">
              <w:t xml:space="preserve"> </w:t>
            </w:r>
            <w:r>
              <w:t>appropriate, modify that point accordingly.</w:t>
            </w:r>
          </w:p>
          <w:p w14:paraId="78A63E9A" w14:textId="77777777" w:rsidR="00BA2A8D" w:rsidRDefault="00BA2A8D" w:rsidP="001C3F71">
            <w:pPr>
              <w:jc w:val="both"/>
            </w:pPr>
          </w:p>
          <w:p w14:paraId="101EC24E" w14:textId="4FB0FEE5" w:rsidR="001C3F71" w:rsidRDefault="001C3F71" w:rsidP="001C3F71">
            <w:pPr>
              <w:jc w:val="both"/>
            </w:pPr>
            <w:r>
              <w:t>(*) Regulation (EU) 2016/425 of the European Parliament and of the</w:t>
            </w:r>
            <w:r w:rsidR="00BA2A8D">
              <w:t xml:space="preserve"> </w:t>
            </w:r>
            <w:r>
              <w:t xml:space="preserve">Council of </w:t>
            </w:r>
            <w:proofErr w:type="spellStart"/>
            <w:r>
              <w:t>of</w:t>
            </w:r>
            <w:proofErr w:type="spellEnd"/>
            <w:r>
              <w:t xml:space="preserve"> 9 March 2016 on personal protective equipment and</w:t>
            </w:r>
            <w:r w:rsidR="00BA2A8D">
              <w:t xml:space="preserve"> </w:t>
            </w:r>
            <w:r>
              <w:t>repealing Council Directive 89/686/EEC (OJ L 81, 31.3.2016,</w:t>
            </w:r>
            <w:r w:rsidR="00BA2A8D">
              <w:t xml:space="preserve"> </w:t>
            </w:r>
            <w:r>
              <w:t>p. 51).</w:t>
            </w:r>
          </w:p>
          <w:p w14:paraId="56FE8C8F" w14:textId="22D568E8" w:rsidR="001C3F71" w:rsidRDefault="001C3F71" w:rsidP="001C3F71">
            <w:pPr>
              <w:jc w:val="both"/>
            </w:pPr>
            <w:r>
              <w:t>(**) Regulation (EU) 2017/745 of the European Parliament and of the</w:t>
            </w:r>
            <w:r w:rsidR="00BA2A8D">
              <w:t xml:space="preserve"> </w:t>
            </w:r>
            <w:r>
              <w:t>Council of 5 April 2017 on medical devices, amending Directive</w:t>
            </w:r>
            <w:r w:rsidR="00BA2A8D">
              <w:t xml:space="preserve"> </w:t>
            </w:r>
            <w:r>
              <w:t>2001/83/EC, Regulation (EC) No 178/2002 and Regulation (EC)</w:t>
            </w:r>
            <w:r w:rsidR="00BA2A8D">
              <w:t xml:space="preserve"> </w:t>
            </w:r>
            <w:r>
              <w:t>No 1223/2009 and repealing Council Directives 90/385/EEC</w:t>
            </w:r>
            <w:r w:rsidR="00BA2A8D">
              <w:t xml:space="preserve"> </w:t>
            </w:r>
            <w:r>
              <w:t>and 93/42/EEC (OJ L 117, 5.5.2017, p. 1).</w:t>
            </w:r>
          </w:p>
        </w:tc>
      </w:tr>
    </w:tbl>
    <w:p w14:paraId="30D951C7" w14:textId="09937E82" w:rsidR="001C3F71" w:rsidRDefault="001C3F71" w:rsidP="001C3F71"/>
    <w:p w14:paraId="4E7EAA7B" w14:textId="355AEA2F" w:rsidR="0075728A" w:rsidRDefault="0075728A" w:rsidP="0075728A">
      <w:pPr>
        <w:jc w:val="both"/>
      </w:pPr>
      <w:r>
        <w:t>(2) The following Appendix</w:t>
      </w:r>
      <w:r w:rsidR="007A0432">
        <w:t xml:space="preserve"> 12</w:t>
      </w:r>
      <w:r>
        <w:t xml:space="preserve"> is added: </w:t>
      </w:r>
      <w:r w:rsidRPr="0075728A">
        <w:t>Entry 72 — restricted substances and maximum concentration limits by weight in homogeneous materials:</w:t>
      </w:r>
    </w:p>
    <w:tbl>
      <w:tblPr>
        <w:tblStyle w:val="TableGrid"/>
        <w:tblW w:w="0" w:type="auto"/>
        <w:tblLook w:val="04A0" w:firstRow="1" w:lastRow="0" w:firstColumn="1" w:lastColumn="0" w:noHBand="0" w:noVBand="1"/>
      </w:tblPr>
      <w:tblGrid>
        <w:gridCol w:w="4708"/>
        <w:gridCol w:w="4308"/>
      </w:tblGrid>
      <w:tr w:rsidR="0075728A" w14:paraId="388D8AD7" w14:textId="77777777" w:rsidTr="00A271BD">
        <w:trPr>
          <w:trHeight w:val="479"/>
        </w:trPr>
        <w:tc>
          <w:tcPr>
            <w:tcW w:w="4708" w:type="dxa"/>
            <w:shd w:val="clear" w:color="auto" w:fill="E8E8E8" w:themeFill="background2"/>
          </w:tcPr>
          <w:p w14:paraId="7BC15C24" w14:textId="053217AA" w:rsidR="0075728A" w:rsidRPr="006C0D38" w:rsidRDefault="006C0D38" w:rsidP="006C0D38">
            <w:pPr>
              <w:jc w:val="center"/>
              <w:rPr>
                <w:b/>
                <w:bCs/>
              </w:rPr>
            </w:pPr>
            <w:r w:rsidRPr="006C0D38">
              <w:rPr>
                <w:b/>
                <w:bCs/>
              </w:rPr>
              <w:t>Substances</w:t>
            </w:r>
          </w:p>
        </w:tc>
        <w:tc>
          <w:tcPr>
            <w:tcW w:w="4308" w:type="dxa"/>
            <w:shd w:val="clear" w:color="auto" w:fill="E8E8E8" w:themeFill="background2"/>
          </w:tcPr>
          <w:p w14:paraId="43F8BD93" w14:textId="0A953B98" w:rsidR="0075728A" w:rsidRPr="006C0D38" w:rsidRDefault="006C0D38" w:rsidP="006C0D38">
            <w:pPr>
              <w:jc w:val="center"/>
              <w:rPr>
                <w:b/>
                <w:bCs/>
              </w:rPr>
            </w:pPr>
            <w:r w:rsidRPr="006C0D38">
              <w:rPr>
                <w:b/>
                <w:bCs/>
              </w:rPr>
              <w:t>Concentration limit by weight</w:t>
            </w:r>
          </w:p>
        </w:tc>
      </w:tr>
      <w:tr w:rsidR="0075728A" w14:paraId="786DE06E" w14:textId="77777777" w:rsidTr="00A271BD">
        <w:tc>
          <w:tcPr>
            <w:tcW w:w="4708" w:type="dxa"/>
          </w:tcPr>
          <w:p w14:paraId="29143D2A" w14:textId="2F5288EB" w:rsidR="0075728A" w:rsidRDefault="0075728A" w:rsidP="0075728A">
            <w:pPr>
              <w:jc w:val="both"/>
            </w:pPr>
            <w:r>
              <w:t>Cadmium and its compounds (listed in Annex XVII, Entry 28, 29, 30, Appendices 1-6)</w:t>
            </w:r>
          </w:p>
        </w:tc>
        <w:tc>
          <w:tcPr>
            <w:tcW w:w="4308" w:type="dxa"/>
          </w:tcPr>
          <w:p w14:paraId="087B2CAF" w14:textId="3165E818" w:rsidR="0075728A" w:rsidRDefault="006C0D38" w:rsidP="006C0D38">
            <w:pPr>
              <w:jc w:val="both"/>
            </w:pPr>
            <w:r>
              <w:t>1 mg/kg after extraction (expressed as Cd metal that can be extracted from the material)</w:t>
            </w:r>
          </w:p>
        </w:tc>
      </w:tr>
      <w:tr w:rsidR="0075728A" w14:paraId="44D6C968" w14:textId="77777777" w:rsidTr="00A271BD">
        <w:tc>
          <w:tcPr>
            <w:tcW w:w="4708" w:type="dxa"/>
          </w:tcPr>
          <w:p w14:paraId="2A47D845" w14:textId="0C1A7FC2" w:rsidR="0075728A" w:rsidRDefault="006C0D38" w:rsidP="006C0D38">
            <w:pPr>
              <w:jc w:val="both"/>
            </w:pPr>
            <w:r>
              <w:t>Chromium VI compounds (listed in Annex XVII, Entry 28, 29, 30, Appendices 1-6)</w:t>
            </w:r>
          </w:p>
        </w:tc>
        <w:tc>
          <w:tcPr>
            <w:tcW w:w="4308" w:type="dxa"/>
          </w:tcPr>
          <w:p w14:paraId="21408FBB" w14:textId="295FF3DD" w:rsidR="0075728A" w:rsidRDefault="006C0D38" w:rsidP="006C0D38">
            <w:pPr>
              <w:jc w:val="both"/>
            </w:pPr>
            <w:r>
              <w:t>1 mg/kg after extraction (expressed as Cr VI that can be extracted from the material)</w:t>
            </w:r>
          </w:p>
        </w:tc>
      </w:tr>
      <w:tr w:rsidR="0075728A" w14:paraId="67F8E01F" w14:textId="77777777" w:rsidTr="00A271BD">
        <w:tc>
          <w:tcPr>
            <w:tcW w:w="4708" w:type="dxa"/>
          </w:tcPr>
          <w:p w14:paraId="78C7CEBE" w14:textId="77777777" w:rsidR="006C0D38" w:rsidRDefault="006C0D38" w:rsidP="006C0D38">
            <w:pPr>
              <w:jc w:val="both"/>
            </w:pPr>
            <w:r>
              <w:t>Arsenic compounds (listed in Annex XVII,</w:t>
            </w:r>
          </w:p>
          <w:p w14:paraId="7EF977C4" w14:textId="245355E5" w:rsidR="0075728A" w:rsidRDefault="006C0D38" w:rsidP="006C0D38">
            <w:pPr>
              <w:jc w:val="both"/>
            </w:pPr>
            <w:r>
              <w:t>Entry 28, 29, 30, Appendices 1-6)</w:t>
            </w:r>
          </w:p>
        </w:tc>
        <w:tc>
          <w:tcPr>
            <w:tcW w:w="4308" w:type="dxa"/>
          </w:tcPr>
          <w:p w14:paraId="6BA7083E" w14:textId="77777777" w:rsidR="006C0D38" w:rsidRDefault="006C0D38" w:rsidP="006C0D38">
            <w:pPr>
              <w:jc w:val="both"/>
            </w:pPr>
            <w:r>
              <w:t>1 mg/kg after extraction (expressed as</w:t>
            </w:r>
          </w:p>
          <w:p w14:paraId="01F41C8D" w14:textId="77777777" w:rsidR="006C0D38" w:rsidRDefault="006C0D38" w:rsidP="006C0D38">
            <w:pPr>
              <w:jc w:val="both"/>
            </w:pPr>
            <w:r>
              <w:t>As metal that can be extracted from the</w:t>
            </w:r>
          </w:p>
          <w:p w14:paraId="43748401" w14:textId="0CF8019A" w:rsidR="0075728A" w:rsidRDefault="006C0D38" w:rsidP="006C0D38">
            <w:pPr>
              <w:jc w:val="both"/>
            </w:pPr>
            <w:r>
              <w:t>material)</w:t>
            </w:r>
          </w:p>
        </w:tc>
      </w:tr>
      <w:tr w:rsidR="0075728A" w14:paraId="1FCAAA47" w14:textId="77777777" w:rsidTr="00A271BD">
        <w:tc>
          <w:tcPr>
            <w:tcW w:w="4708" w:type="dxa"/>
          </w:tcPr>
          <w:p w14:paraId="51BAE339" w14:textId="31D25B38" w:rsidR="0075728A" w:rsidRDefault="006C0D38" w:rsidP="006C0D38">
            <w:pPr>
              <w:jc w:val="both"/>
            </w:pPr>
            <w:r>
              <w:t>Lead and its compounds (listed in Annex XVII, Entry 28, 29, 30, Appendices 1-6)</w:t>
            </w:r>
          </w:p>
        </w:tc>
        <w:tc>
          <w:tcPr>
            <w:tcW w:w="4308" w:type="dxa"/>
          </w:tcPr>
          <w:p w14:paraId="0F691566" w14:textId="77777777" w:rsidR="006C0D38" w:rsidRDefault="006C0D38" w:rsidP="006C0D38">
            <w:pPr>
              <w:jc w:val="both"/>
            </w:pPr>
            <w:r>
              <w:t>1 mg/kg after extraction (expressed as</w:t>
            </w:r>
          </w:p>
          <w:p w14:paraId="4D6698CF" w14:textId="77777777" w:rsidR="006C0D38" w:rsidRDefault="006C0D38" w:rsidP="006C0D38">
            <w:pPr>
              <w:jc w:val="both"/>
            </w:pPr>
            <w:r>
              <w:t>Pb metal that can be extracted from the</w:t>
            </w:r>
          </w:p>
          <w:p w14:paraId="09ABD302" w14:textId="74012439" w:rsidR="0075728A" w:rsidRDefault="006C0D38" w:rsidP="006C0D38">
            <w:pPr>
              <w:jc w:val="both"/>
            </w:pPr>
            <w:r>
              <w:t>material)</w:t>
            </w:r>
          </w:p>
        </w:tc>
      </w:tr>
      <w:tr w:rsidR="0075728A" w14:paraId="0ED7F7EF" w14:textId="77777777" w:rsidTr="00A271BD">
        <w:tc>
          <w:tcPr>
            <w:tcW w:w="4708" w:type="dxa"/>
          </w:tcPr>
          <w:p w14:paraId="3CF32243" w14:textId="2DED624D" w:rsidR="0075728A" w:rsidRDefault="006C0D38" w:rsidP="0075728A">
            <w:pPr>
              <w:jc w:val="both"/>
            </w:pPr>
            <w:r w:rsidRPr="006C0D38">
              <w:t>Benzene</w:t>
            </w:r>
          </w:p>
        </w:tc>
        <w:tc>
          <w:tcPr>
            <w:tcW w:w="4308" w:type="dxa"/>
          </w:tcPr>
          <w:p w14:paraId="56762E38" w14:textId="6FF0EC3C" w:rsidR="0075728A" w:rsidRDefault="006C0D38" w:rsidP="0075728A">
            <w:pPr>
              <w:jc w:val="both"/>
            </w:pPr>
            <w:r w:rsidRPr="006C0D38">
              <w:t>5 mg/kg</w:t>
            </w:r>
          </w:p>
        </w:tc>
      </w:tr>
      <w:tr w:rsidR="0075728A" w14:paraId="72CE62A7" w14:textId="77777777" w:rsidTr="00A271BD">
        <w:tc>
          <w:tcPr>
            <w:tcW w:w="4708" w:type="dxa"/>
          </w:tcPr>
          <w:p w14:paraId="0E4F3A48" w14:textId="6642BEE6" w:rsidR="0075728A" w:rsidRDefault="006C0D38" w:rsidP="0075728A">
            <w:pPr>
              <w:jc w:val="both"/>
            </w:pPr>
            <w:r w:rsidRPr="006C0D38">
              <w:t>Benz[</w:t>
            </w:r>
            <w:r w:rsidRPr="006C0D38">
              <w:rPr>
                <w:i/>
                <w:iCs/>
              </w:rPr>
              <w:t>a</w:t>
            </w:r>
            <w:r w:rsidRPr="006C0D38">
              <w:t>]anthracene</w:t>
            </w:r>
          </w:p>
        </w:tc>
        <w:tc>
          <w:tcPr>
            <w:tcW w:w="4308" w:type="dxa"/>
          </w:tcPr>
          <w:p w14:paraId="107BA750" w14:textId="4CFA0FEE" w:rsidR="0075728A" w:rsidRDefault="006C0D38" w:rsidP="0075728A">
            <w:pPr>
              <w:jc w:val="both"/>
            </w:pPr>
            <w:r w:rsidRPr="006C0D38">
              <w:t>1 mg/kg</w:t>
            </w:r>
          </w:p>
        </w:tc>
      </w:tr>
      <w:tr w:rsidR="0075728A" w14:paraId="6FCB7880" w14:textId="77777777" w:rsidTr="00A271BD">
        <w:tc>
          <w:tcPr>
            <w:tcW w:w="4708" w:type="dxa"/>
          </w:tcPr>
          <w:p w14:paraId="72ABA284" w14:textId="59384F07" w:rsidR="0075728A" w:rsidRDefault="006C0D38" w:rsidP="0075728A">
            <w:pPr>
              <w:jc w:val="both"/>
            </w:pPr>
            <w:r w:rsidRPr="006C0D38">
              <w:t>Benz[</w:t>
            </w:r>
            <w:r w:rsidRPr="006C0D38">
              <w:rPr>
                <w:i/>
                <w:iCs/>
              </w:rPr>
              <w:t>e</w:t>
            </w:r>
            <w:r w:rsidRPr="006C0D38">
              <w:t>]</w:t>
            </w:r>
            <w:proofErr w:type="spellStart"/>
            <w:r w:rsidRPr="006C0D38">
              <w:t>acephenanthrylene</w:t>
            </w:r>
            <w:proofErr w:type="spellEnd"/>
          </w:p>
        </w:tc>
        <w:tc>
          <w:tcPr>
            <w:tcW w:w="4308" w:type="dxa"/>
          </w:tcPr>
          <w:p w14:paraId="3D8699EA" w14:textId="392F5015" w:rsidR="0075728A" w:rsidRDefault="006C0D38" w:rsidP="0075728A">
            <w:pPr>
              <w:jc w:val="both"/>
            </w:pPr>
            <w:r w:rsidRPr="006C0D38">
              <w:t>1 mg/kg</w:t>
            </w:r>
          </w:p>
        </w:tc>
      </w:tr>
      <w:tr w:rsidR="0075728A" w14:paraId="49AC8F0B" w14:textId="77777777" w:rsidTr="00A271BD">
        <w:tc>
          <w:tcPr>
            <w:tcW w:w="4708" w:type="dxa"/>
          </w:tcPr>
          <w:p w14:paraId="6BDAC62D" w14:textId="1EEDBD4C" w:rsidR="0075728A" w:rsidRDefault="006C0D38" w:rsidP="0075728A">
            <w:pPr>
              <w:jc w:val="both"/>
            </w:pPr>
            <w:r w:rsidRPr="006C0D38">
              <w:t>benzo[</w:t>
            </w:r>
            <w:r w:rsidRPr="006C0D38">
              <w:rPr>
                <w:i/>
                <w:iCs/>
              </w:rPr>
              <w:t>a</w:t>
            </w:r>
            <w:r w:rsidRPr="006C0D38">
              <w:t>]pyrene; benzo[</w:t>
            </w:r>
            <w:r w:rsidRPr="006C0D38">
              <w:rPr>
                <w:i/>
                <w:iCs/>
              </w:rPr>
              <w:t>def</w:t>
            </w:r>
            <w:r w:rsidRPr="006C0D38">
              <w:t>]chrysene</w:t>
            </w:r>
          </w:p>
        </w:tc>
        <w:tc>
          <w:tcPr>
            <w:tcW w:w="4308" w:type="dxa"/>
          </w:tcPr>
          <w:p w14:paraId="42F199F8" w14:textId="40918721" w:rsidR="0075728A" w:rsidRDefault="006C0D38" w:rsidP="0075728A">
            <w:pPr>
              <w:jc w:val="both"/>
            </w:pPr>
            <w:r w:rsidRPr="006C0D38">
              <w:t>1 mg/kg</w:t>
            </w:r>
          </w:p>
        </w:tc>
      </w:tr>
      <w:tr w:rsidR="0075728A" w14:paraId="2BAA9594" w14:textId="77777777" w:rsidTr="00A271BD">
        <w:tc>
          <w:tcPr>
            <w:tcW w:w="4708" w:type="dxa"/>
          </w:tcPr>
          <w:p w14:paraId="7BF86B90" w14:textId="32FBDF1E" w:rsidR="0075728A" w:rsidRDefault="006C0D38" w:rsidP="0075728A">
            <w:pPr>
              <w:jc w:val="both"/>
            </w:pPr>
            <w:r w:rsidRPr="006C0D38">
              <w:t>Benzo[</w:t>
            </w:r>
            <w:r w:rsidRPr="006C0D38">
              <w:rPr>
                <w:i/>
                <w:iCs/>
              </w:rPr>
              <w:t>e</w:t>
            </w:r>
            <w:r w:rsidRPr="006C0D38">
              <w:t>]pyrene</w:t>
            </w:r>
          </w:p>
        </w:tc>
        <w:tc>
          <w:tcPr>
            <w:tcW w:w="4308" w:type="dxa"/>
          </w:tcPr>
          <w:p w14:paraId="044379F6" w14:textId="5B363934" w:rsidR="0075728A" w:rsidRDefault="006C0D38" w:rsidP="0075728A">
            <w:pPr>
              <w:jc w:val="both"/>
            </w:pPr>
            <w:r w:rsidRPr="006C0D38">
              <w:t>1 mg/kg</w:t>
            </w:r>
          </w:p>
        </w:tc>
      </w:tr>
      <w:tr w:rsidR="0075728A" w14:paraId="0EB46367" w14:textId="77777777" w:rsidTr="00A271BD">
        <w:tc>
          <w:tcPr>
            <w:tcW w:w="4708" w:type="dxa"/>
          </w:tcPr>
          <w:p w14:paraId="4A3925FB" w14:textId="43734658" w:rsidR="0075728A" w:rsidRDefault="006C0D38" w:rsidP="0075728A">
            <w:pPr>
              <w:jc w:val="both"/>
            </w:pPr>
            <w:r w:rsidRPr="006C0D38">
              <w:t>Benzo[</w:t>
            </w:r>
            <w:r w:rsidRPr="006C0D38">
              <w:rPr>
                <w:i/>
                <w:iCs/>
              </w:rPr>
              <w:t>j</w:t>
            </w:r>
            <w:r w:rsidRPr="006C0D38">
              <w:t>]fluoranthene</w:t>
            </w:r>
          </w:p>
        </w:tc>
        <w:tc>
          <w:tcPr>
            <w:tcW w:w="4308" w:type="dxa"/>
          </w:tcPr>
          <w:p w14:paraId="0D72F883" w14:textId="2CDB9D91" w:rsidR="0075728A" w:rsidRDefault="006C0D38" w:rsidP="0075728A">
            <w:pPr>
              <w:jc w:val="both"/>
            </w:pPr>
            <w:r w:rsidRPr="006C0D38">
              <w:t>1 mg/kg</w:t>
            </w:r>
          </w:p>
        </w:tc>
      </w:tr>
      <w:tr w:rsidR="0075728A" w14:paraId="1C773AC7" w14:textId="77777777" w:rsidTr="00A271BD">
        <w:tc>
          <w:tcPr>
            <w:tcW w:w="4708" w:type="dxa"/>
          </w:tcPr>
          <w:p w14:paraId="39562788" w14:textId="1193DD40" w:rsidR="0075728A" w:rsidRDefault="006C0D38" w:rsidP="0075728A">
            <w:pPr>
              <w:jc w:val="both"/>
            </w:pPr>
            <w:r w:rsidRPr="006C0D38">
              <w:t>Benzo[</w:t>
            </w:r>
            <w:r w:rsidRPr="006C0D38">
              <w:rPr>
                <w:i/>
                <w:iCs/>
              </w:rPr>
              <w:t>k</w:t>
            </w:r>
            <w:r w:rsidRPr="006C0D38">
              <w:t>]fluoranthene</w:t>
            </w:r>
          </w:p>
        </w:tc>
        <w:tc>
          <w:tcPr>
            <w:tcW w:w="4308" w:type="dxa"/>
          </w:tcPr>
          <w:p w14:paraId="39376054" w14:textId="26DB4617" w:rsidR="0075728A" w:rsidRDefault="006C0D38" w:rsidP="0075728A">
            <w:pPr>
              <w:jc w:val="both"/>
            </w:pPr>
            <w:r w:rsidRPr="006C0D38">
              <w:t>1 mg/kg</w:t>
            </w:r>
          </w:p>
        </w:tc>
      </w:tr>
      <w:tr w:rsidR="0075728A" w14:paraId="646FAAFB" w14:textId="77777777" w:rsidTr="00A271BD">
        <w:tc>
          <w:tcPr>
            <w:tcW w:w="4708" w:type="dxa"/>
          </w:tcPr>
          <w:p w14:paraId="2516A9FA" w14:textId="66876F10" w:rsidR="0075728A" w:rsidRDefault="00C8531F" w:rsidP="0075728A">
            <w:pPr>
              <w:jc w:val="both"/>
            </w:pPr>
            <w:r w:rsidRPr="00C8531F">
              <w:t>Chrysene</w:t>
            </w:r>
          </w:p>
        </w:tc>
        <w:tc>
          <w:tcPr>
            <w:tcW w:w="4308" w:type="dxa"/>
          </w:tcPr>
          <w:p w14:paraId="7183B2CF" w14:textId="23FAC08A" w:rsidR="0075728A" w:rsidRDefault="00C8531F" w:rsidP="0075728A">
            <w:pPr>
              <w:jc w:val="both"/>
            </w:pPr>
            <w:r w:rsidRPr="00C8531F">
              <w:t>1 mg/kg</w:t>
            </w:r>
          </w:p>
        </w:tc>
      </w:tr>
      <w:tr w:rsidR="0075728A" w14:paraId="30B2A4A6" w14:textId="77777777" w:rsidTr="00A271BD">
        <w:tc>
          <w:tcPr>
            <w:tcW w:w="4708" w:type="dxa"/>
          </w:tcPr>
          <w:p w14:paraId="2AFF3BB9" w14:textId="69B79FD7" w:rsidR="0075728A" w:rsidRDefault="00C8531F" w:rsidP="0075728A">
            <w:pPr>
              <w:jc w:val="both"/>
            </w:pPr>
            <w:r w:rsidRPr="00C8531F">
              <w:t>Dibenz[</w:t>
            </w:r>
            <w:proofErr w:type="spellStart"/>
            <w:proofErr w:type="gramStart"/>
            <w:r w:rsidRPr="00C8531F">
              <w:rPr>
                <w:i/>
                <w:iCs/>
              </w:rPr>
              <w:t>a,h</w:t>
            </w:r>
            <w:proofErr w:type="spellEnd"/>
            <w:proofErr w:type="gramEnd"/>
            <w:r w:rsidRPr="00C8531F">
              <w:t>]anthracene</w:t>
            </w:r>
          </w:p>
        </w:tc>
        <w:tc>
          <w:tcPr>
            <w:tcW w:w="4308" w:type="dxa"/>
          </w:tcPr>
          <w:p w14:paraId="1CA2E833" w14:textId="73A6A546" w:rsidR="0075728A" w:rsidRDefault="00C8531F" w:rsidP="0075728A">
            <w:pPr>
              <w:jc w:val="both"/>
            </w:pPr>
            <w:r w:rsidRPr="00C8531F">
              <w:t>1 mg/kg</w:t>
            </w:r>
          </w:p>
        </w:tc>
      </w:tr>
      <w:tr w:rsidR="0075728A" w14:paraId="0FF99032" w14:textId="77777777" w:rsidTr="00A271BD">
        <w:tc>
          <w:tcPr>
            <w:tcW w:w="4708" w:type="dxa"/>
          </w:tcPr>
          <w:p w14:paraId="60EBBCC8" w14:textId="3D019132" w:rsidR="00C8531F" w:rsidRDefault="00C8531F" w:rsidP="00C8531F">
            <w:pPr>
              <w:jc w:val="both"/>
            </w:pPr>
            <w:proofErr w:type="gramStart"/>
            <w:r>
              <w:t>α,α</w:t>
            </w:r>
            <w:proofErr w:type="gramEnd"/>
            <w:r>
              <w:t>,α,4-tetrachlorotoluene; p-</w:t>
            </w:r>
            <w:proofErr w:type="spellStart"/>
            <w:r>
              <w:t>chloro</w:t>
            </w:r>
            <w:proofErr w:type="spellEnd"/>
          </w:p>
          <w:p w14:paraId="50635004" w14:textId="4EB626F6" w:rsidR="0075728A" w:rsidRDefault="00C8531F" w:rsidP="00C8531F">
            <w:pPr>
              <w:jc w:val="both"/>
            </w:pPr>
            <w:proofErr w:type="spellStart"/>
            <w:r>
              <w:t>benzotrichloride</w:t>
            </w:r>
            <w:proofErr w:type="spellEnd"/>
          </w:p>
        </w:tc>
        <w:tc>
          <w:tcPr>
            <w:tcW w:w="4308" w:type="dxa"/>
          </w:tcPr>
          <w:p w14:paraId="0D018FE2" w14:textId="0DA75E15" w:rsidR="0075728A" w:rsidRDefault="00C8531F" w:rsidP="0075728A">
            <w:pPr>
              <w:jc w:val="both"/>
            </w:pPr>
            <w:r w:rsidRPr="00C8531F">
              <w:t>1 mg/kg</w:t>
            </w:r>
          </w:p>
        </w:tc>
      </w:tr>
      <w:tr w:rsidR="0075728A" w14:paraId="4AD101EB" w14:textId="77777777" w:rsidTr="00A271BD">
        <w:tc>
          <w:tcPr>
            <w:tcW w:w="4708" w:type="dxa"/>
          </w:tcPr>
          <w:p w14:paraId="741D7F64" w14:textId="4DB3B061" w:rsidR="0075728A" w:rsidRDefault="00C8531F" w:rsidP="0075728A">
            <w:pPr>
              <w:jc w:val="both"/>
            </w:pPr>
            <w:proofErr w:type="gramStart"/>
            <w:r w:rsidRPr="00C8531F">
              <w:t>α,α</w:t>
            </w:r>
            <w:proofErr w:type="gramEnd"/>
            <w:r w:rsidRPr="00C8531F">
              <w:t>,α-</w:t>
            </w:r>
            <w:proofErr w:type="spellStart"/>
            <w:r w:rsidRPr="00C8531F">
              <w:t>trichlorotoluene</w:t>
            </w:r>
            <w:proofErr w:type="spellEnd"/>
            <w:r w:rsidRPr="00C8531F">
              <w:t xml:space="preserve">; </w:t>
            </w:r>
            <w:proofErr w:type="spellStart"/>
            <w:r w:rsidRPr="00C8531F">
              <w:t>benzotrichloride</w:t>
            </w:r>
            <w:proofErr w:type="spellEnd"/>
          </w:p>
        </w:tc>
        <w:tc>
          <w:tcPr>
            <w:tcW w:w="4308" w:type="dxa"/>
          </w:tcPr>
          <w:p w14:paraId="2AAD0622" w14:textId="1DD3FB38" w:rsidR="0075728A" w:rsidRDefault="00C8531F" w:rsidP="0075728A">
            <w:pPr>
              <w:jc w:val="both"/>
            </w:pPr>
            <w:r w:rsidRPr="00C8531F">
              <w:t>1 mg/kg</w:t>
            </w:r>
          </w:p>
        </w:tc>
      </w:tr>
      <w:tr w:rsidR="0075728A" w14:paraId="4D5D92A4" w14:textId="77777777" w:rsidTr="00A271BD">
        <w:tc>
          <w:tcPr>
            <w:tcW w:w="4708" w:type="dxa"/>
          </w:tcPr>
          <w:p w14:paraId="4F437DB8" w14:textId="55A0F0B5" w:rsidR="0075728A" w:rsidRDefault="00C8531F" w:rsidP="0075728A">
            <w:pPr>
              <w:jc w:val="both"/>
            </w:pPr>
            <w:r w:rsidRPr="00C8531F">
              <w:lastRenderedPageBreak/>
              <w:t>α-chlorotoluene; benzyl chloride</w:t>
            </w:r>
          </w:p>
        </w:tc>
        <w:tc>
          <w:tcPr>
            <w:tcW w:w="4308" w:type="dxa"/>
          </w:tcPr>
          <w:p w14:paraId="6B3AE484" w14:textId="054047EB" w:rsidR="0075728A" w:rsidRDefault="00C8531F" w:rsidP="0075728A">
            <w:pPr>
              <w:jc w:val="both"/>
            </w:pPr>
            <w:r w:rsidRPr="00C8531F">
              <w:t>1 mg/kg</w:t>
            </w:r>
          </w:p>
        </w:tc>
      </w:tr>
      <w:tr w:rsidR="0075728A" w14:paraId="6D1CBEA1" w14:textId="77777777" w:rsidTr="00A271BD">
        <w:tc>
          <w:tcPr>
            <w:tcW w:w="4708" w:type="dxa"/>
          </w:tcPr>
          <w:p w14:paraId="19CF6CA1" w14:textId="34BF21A7" w:rsidR="0075728A" w:rsidRDefault="00C8531F" w:rsidP="0075728A">
            <w:pPr>
              <w:jc w:val="both"/>
            </w:pPr>
            <w:r w:rsidRPr="00C8531F">
              <w:t>Formaldehyde</w:t>
            </w:r>
          </w:p>
        </w:tc>
        <w:tc>
          <w:tcPr>
            <w:tcW w:w="4308" w:type="dxa"/>
          </w:tcPr>
          <w:p w14:paraId="4587282A" w14:textId="19F4BED7" w:rsidR="0075728A" w:rsidRDefault="00C8531F" w:rsidP="0075728A">
            <w:pPr>
              <w:jc w:val="both"/>
            </w:pPr>
            <w:r w:rsidRPr="00C8531F">
              <w:t>75 mg/kg</w:t>
            </w:r>
          </w:p>
        </w:tc>
      </w:tr>
      <w:tr w:rsidR="0075728A" w14:paraId="3A54748A" w14:textId="77777777" w:rsidTr="00A271BD">
        <w:tc>
          <w:tcPr>
            <w:tcW w:w="4708" w:type="dxa"/>
          </w:tcPr>
          <w:p w14:paraId="5305902C" w14:textId="77777777" w:rsidR="00C8531F" w:rsidRDefault="00C8531F" w:rsidP="00C8531F">
            <w:pPr>
              <w:jc w:val="both"/>
            </w:pPr>
            <w:r>
              <w:t xml:space="preserve">1,2-benzenedicarboxylic </w:t>
            </w:r>
            <w:proofErr w:type="gramStart"/>
            <w:r>
              <w:t>acid;</w:t>
            </w:r>
            <w:proofErr w:type="gramEnd"/>
          </w:p>
          <w:p w14:paraId="02CA0B7F" w14:textId="1778D5D5" w:rsidR="0075728A" w:rsidRDefault="00C8531F" w:rsidP="00C8531F">
            <w:pPr>
              <w:jc w:val="both"/>
            </w:pPr>
            <w:r>
              <w:t xml:space="preserve">di-C 6-8-branched </w:t>
            </w:r>
            <w:proofErr w:type="spellStart"/>
            <w:r>
              <w:t>alkylesters</w:t>
            </w:r>
            <w:proofErr w:type="spellEnd"/>
            <w:r>
              <w:t>, C 7-rich</w:t>
            </w:r>
          </w:p>
        </w:tc>
        <w:tc>
          <w:tcPr>
            <w:tcW w:w="4308" w:type="dxa"/>
          </w:tcPr>
          <w:p w14:paraId="1C27B4EC" w14:textId="15FFD5E8" w:rsidR="0075728A" w:rsidRDefault="00C8531F" w:rsidP="00C8531F">
            <w:pPr>
              <w:jc w:val="both"/>
            </w:pPr>
            <w:r>
              <w:t>1 000 mg/kg (individually or in combination with other phthalates in this entry or in other entries of Annex XVII that are classified in Part 3 of Annex VI to Regulation (EC) No 1272/2008 in any of the hazard classes carcinogenicity, germ cell mutagenicity or reproductive toxicity, category 1A or 1B</w:t>
            </w:r>
          </w:p>
        </w:tc>
      </w:tr>
      <w:tr w:rsidR="0075728A" w14:paraId="39A9E044" w14:textId="77777777" w:rsidTr="00A271BD">
        <w:tc>
          <w:tcPr>
            <w:tcW w:w="4708" w:type="dxa"/>
          </w:tcPr>
          <w:p w14:paraId="5507A274" w14:textId="692E25A5" w:rsidR="0075728A" w:rsidRDefault="00C8531F" w:rsidP="0075728A">
            <w:pPr>
              <w:jc w:val="both"/>
            </w:pPr>
            <w:r w:rsidRPr="00C8531F">
              <w:t>Bis(2-methoxyethyl) phthalate</w:t>
            </w:r>
          </w:p>
        </w:tc>
        <w:tc>
          <w:tcPr>
            <w:tcW w:w="4308" w:type="dxa"/>
          </w:tcPr>
          <w:p w14:paraId="20F0318E" w14:textId="482B1E08" w:rsidR="0075728A" w:rsidRDefault="00C8531F" w:rsidP="00C8531F">
            <w:pPr>
              <w:jc w:val="both"/>
            </w:pPr>
            <w:r>
              <w:t>1 000 mg/kg (individually or in combination with other phthalates in this entry or in other entries of Annex XVII that are classified in Part 3 of Annex VI to Regulation (EC) No 1272/2008 in any of the hazard classes carcinogenicity, germ cell mutagenicity or reproductive toxicity, category 1A or 1B</w:t>
            </w:r>
          </w:p>
        </w:tc>
      </w:tr>
      <w:tr w:rsidR="0075728A" w14:paraId="6943D567" w14:textId="77777777" w:rsidTr="00A271BD">
        <w:tc>
          <w:tcPr>
            <w:tcW w:w="4708" w:type="dxa"/>
          </w:tcPr>
          <w:p w14:paraId="450D55B6" w14:textId="18582736" w:rsidR="0075728A" w:rsidRDefault="00C8531F" w:rsidP="0075728A">
            <w:pPr>
              <w:jc w:val="both"/>
            </w:pPr>
            <w:proofErr w:type="spellStart"/>
            <w:r w:rsidRPr="00C8531F">
              <w:t>Diisopentylphthalate</w:t>
            </w:r>
            <w:proofErr w:type="spellEnd"/>
          </w:p>
        </w:tc>
        <w:tc>
          <w:tcPr>
            <w:tcW w:w="4308" w:type="dxa"/>
          </w:tcPr>
          <w:p w14:paraId="2B9E0C1F" w14:textId="2C60C2F6" w:rsidR="0075728A" w:rsidRDefault="00C8531F" w:rsidP="00C8531F">
            <w:pPr>
              <w:jc w:val="both"/>
            </w:pPr>
            <w:r>
              <w:t>1 000 mg/kg (individually or in combination with other phthalates in this entry or in other entries of Annex XVII that are classified in Part 3 of Annex VI to Regulation (EC) No 1272/2008 in any of the hazard classes carcinogenicity, germ cell mutagenicity or reproductive toxicity, category 1A or 1B</w:t>
            </w:r>
          </w:p>
        </w:tc>
      </w:tr>
      <w:tr w:rsidR="0075728A" w14:paraId="3B7303B3" w14:textId="77777777" w:rsidTr="00A271BD">
        <w:tc>
          <w:tcPr>
            <w:tcW w:w="4708" w:type="dxa"/>
          </w:tcPr>
          <w:p w14:paraId="6A5ECFF2" w14:textId="4A0391AC" w:rsidR="0075728A" w:rsidRDefault="00C8531F" w:rsidP="0075728A">
            <w:pPr>
              <w:jc w:val="both"/>
            </w:pPr>
            <w:r w:rsidRPr="00C8531F">
              <w:t>Di-</w:t>
            </w:r>
            <w:r w:rsidRPr="00C8531F">
              <w:rPr>
                <w:i/>
                <w:iCs/>
              </w:rPr>
              <w:t>n</w:t>
            </w:r>
            <w:r w:rsidRPr="00C8531F">
              <w:t>-pentyl phthalate (DPP)</w:t>
            </w:r>
          </w:p>
        </w:tc>
        <w:tc>
          <w:tcPr>
            <w:tcW w:w="4308" w:type="dxa"/>
          </w:tcPr>
          <w:p w14:paraId="525C5699" w14:textId="1C907C43" w:rsidR="0075728A" w:rsidRDefault="00C8531F" w:rsidP="00C8531F">
            <w:pPr>
              <w:jc w:val="both"/>
            </w:pPr>
            <w:r>
              <w:t>1 000 mg/kg (individually or in combination with other phthalates in this entry or in other entries of Annex XVII that are classified in Part 3 of Annex VI to Regulation (EC) No 1272/2008 in any of the hazard classes carcinogenicity, germ cell mutagenicity or reproductive toxicity, category 1A or 1B</w:t>
            </w:r>
          </w:p>
        </w:tc>
      </w:tr>
      <w:tr w:rsidR="0075728A" w:rsidRPr="00C8531F" w14:paraId="17D1820C" w14:textId="77777777" w:rsidTr="00A271BD">
        <w:tc>
          <w:tcPr>
            <w:tcW w:w="4708" w:type="dxa"/>
          </w:tcPr>
          <w:p w14:paraId="4661B4E1" w14:textId="36241152" w:rsidR="0075728A" w:rsidRPr="00C8531F" w:rsidRDefault="00C8531F" w:rsidP="0075728A">
            <w:pPr>
              <w:jc w:val="both"/>
              <w:rPr>
                <w:lang w:val="de-DE"/>
              </w:rPr>
            </w:pPr>
            <w:r w:rsidRPr="00C8531F">
              <w:rPr>
                <w:lang w:val="de-DE"/>
              </w:rPr>
              <w:t>Di-</w:t>
            </w:r>
            <w:r w:rsidRPr="00C8531F">
              <w:rPr>
                <w:i/>
                <w:iCs/>
                <w:lang w:val="de-DE"/>
              </w:rPr>
              <w:t>n</w:t>
            </w:r>
            <w:r w:rsidRPr="00C8531F">
              <w:rPr>
                <w:lang w:val="de-DE"/>
              </w:rPr>
              <w:t>-</w:t>
            </w:r>
            <w:proofErr w:type="spellStart"/>
            <w:r w:rsidRPr="00C8531F">
              <w:rPr>
                <w:lang w:val="de-DE"/>
              </w:rPr>
              <w:t>hexyl</w:t>
            </w:r>
            <w:proofErr w:type="spellEnd"/>
            <w:r w:rsidRPr="00C8531F">
              <w:rPr>
                <w:lang w:val="de-DE"/>
              </w:rPr>
              <w:t xml:space="preserve"> </w:t>
            </w:r>
            <w:proofErr w:type="spellStart"/>
            <w:r w:rsidRPr="00C8531F">
              <w:rPr>
                <w:lang w:val="de-DE"/>
              </w:rPr>
              <w:t>phthalate</w:t>
            </w:r>
            <w:proofErr w:type="spellEnd"/>
            <w:r w:rsidRPr="00C8531F">
              <w:rPr>
                <w:lang w:val="de-DE"/>
              </w:rPr>
              <w:t xml:space="preserve"> (</w:t>
            </w:r>
            <w:proofErr w:type="spellStart"/>
            <w:r w:rsidRPr="00C8531F">
              <w:rPr>
                <w:lang w:val="de-DE"/>
              </w:rPr>
              <w:t>DnHP</w:t>
            </w:r>
            <w:proofErr w:type="spellEnd"/>
            <w:r w:rsidRPr="00C8531F">
              <w:rPr>
                <w:lang w:val="de-DE"/>
              </w:rPr>
              <w:t>)</w:t>
            </w:r>
          </w:p>
        </w:tc>
        <w:tc>
          <w:tcPr>
            <w:tcW w:w="4308" w:type="dxa"/>
          </w:tcPr>
          <w:p w14:paraId="2D650730" w14:textId="24FAB849" w:rsidR="0075728A" w:rsidRPr="00C8531F" w:rsidRDefault="00C8531F" w:rsidP="0075728A">
            <w:pPr>
              <w:jc w:val="both"/>
            </w:pPr>
            <w:r>
              <w:t>1 000 mg/kg (individually or in combination with other phthalates in this entry or in other entries of Annex XVII that are classified in Part 3 of Annex VI to Regulation (EC) No 1272/2008 in any of the hazard classes carcinogenicity, germ cell mutagenicity or reproductive toxicity, category 1A or 1B</w:t>
            </w:r>
          </w:p>
        </w:tc>
      </w:tr>
      <w:tr w:rsidR="0075728A" w:rsidRPr="00C8531F" w14:paraId="40B50C3D" w14:textId="77777777" w:rsidTr="00A271BD">
        <w:tc>
          <w:tcPr>
            <w:tcW w:w="4708" w:type="dxa"/>
          </w:tcPr>
          <w:p w14:paraId="5B76D662" w14:textId="341DE338" w:rsidR="0075728A" w:rsidRPr="00C8531F" w:rsidRDefault="00C8531F" w:rsidP="00C8531F">
            <w:r w:rsidRPr="00C8531F">
              <w:rPr>
                <w:i/>
                <w:iCs/>
              </w:rPr>
              <w:t>N</w:t>
            </w:r>
            <w:r>
              <w:t xml:space="preserve">-methyl-2-pyrrolidone; 1-methyl-2-pyr </w:t>
            </w:r>
            <w:proofErr w:type="spellStart"/>
            <w:r>
              <w:t>rolidone</w:t>
            </w:r>
            <w:proofErr w:type="spellEnd"/>
            <w:r>
              <w:t xml:space="preserve"> (NMP)</w:t>
            </w:r>
          </w:p>
        </w:tc>
        <w:tc>
          <w:tcPr>
            <w:tcW w:w="4308" w:type="dxa"/>
          </w:tcPr>
          <w:p w14:paraId="790B4723" w14:textId="3B520A13" w:rsidR="0075728A" w:rsidRPr="00C8531F" w:rsidRDefault="00C8531F" w:rsidP="0075728A">
            <w:pPr>
              <w:jc w:val="both"/>
            </w:pPr>
            <w:r w:rsidRPr="00C8531F">
              <w:t>3 000 mg/kg</w:t>
            </w:r>
          </w:p>
        </w:tc>
      </w:tr>
      <w:tr w:rsidR="0075728A" w:rsidRPr="00C8531F" w14:paraId="7CF18F67" w14:textId="77777777" w:rsidTr="00A271BD">
        <w:tc>
          <w:tcPr>
            <w:tcW w:w="4708" w:type="dxa"/>
          </w:tcPr>
          <w:p w14:paraId="7CA36A2E" w14:textId="2D09F7E6" w:rsidR="0075728A" w:rsidRPr="00C8531F" w:rsidRDefault="00A271BD" w:rsidP="0075728A">
            <w:pPr>
              <w:jc w:val="both"/>
            </w:pPr>
            <w:proofErr w:type="gramStart"/>
            <w:r w:rsidRPr="00A271BD">
              <w:rPr>
                <w:i/>
                <w:iCs/>
              </w:rPr>
              <w:t>N,N</w:t>
            </w:r>
            <w:proofErr w:type="gramEnd"/>
            <w:r w:rsidRPr="00A271BD">
              <w:t>-dimethylacetamide (DMAC)</w:t>
            </w:r>
          </w:p>
        </w:tc>
        <w:tc>
          <w:tcPr>
            <w:tcW w:w="4308" w:type="dxa"/>
          </w:tcPr>
          <w:p w14:paraId="242D67BD" w14:textId="35AC9840" w:rsidR="0075728A" w:rsidRPr="00C8531F" w:rsidRDefault="00A271BD" w:rsidP="0075728A">
            <w:pPr>
              <w:jc w:val="both"/>
            </w:pPr>
            <w:r w:rsidRPr="00A271BD">
              <w:t>3 000 mg/kg</w:t>
            </w:r>
          </w:p>
        </w:tc>
      </w:tr>
      <w:tr w:rsidR="0075728A" w:rsidRPr="00C8531F" w14:paraId="7F951AF0" w14:textId="77777777" w:rsidTr="00A271BD">
        <w:tc>
          <w:tcPr>
            <w:tcW w:w="4708" w:type="dxa"/>
          </w:tcPr>
          <w:p w14:paraId="37CA1610" w14:textId="77777777" w:rsidR="00A271BD" w:rsidRDefault="00A271BD" w:rsidP="00A271BD">
            <w:pPr>
              <w:jc w:val="both"/>
            </w:pPr>
            <w:proofErr w:type="gramStart"/>
            <w:r w:rsidRPr="00A271BD">
              <w:rPr>
                <w:i/>
                <w:iCs/>
              </w:rPr>
              <w:t>N,N</w:t>
            </w:r>
            <w:proofErr w:type="gramEnd"/>
            <w:r>
              <w:t>-dimethylformamide; dimethyl</w:t>
            </w:r>
          </w:p>
          <w:p w14:paraId="5A176923" w14:textId="5EBD413F" w:rsidR="0075728A" w:rsidRPr="00C8531F" w:rsidRDefault="00A271BD" w:rsidP="00A271BD">
            <w:pPr>
              <w:jc w:val="both"/>
            </w:pPr>
            <w:r>
              <w:t>formamide (DMF)</w:t>
            </w:r>
          </w:p>
        </w:tc>
        <w:tc>
          <w:tcPr>
            <w:tcW w:w="4308" w:type="dxa"/>
          </w:tcPr>
          <w:p w14:paraId="4F295455" w14:textId="4AFDF198" w:rsidR="0075728A" w:rsidRPr="00C8531F" w:rsidRDefault="00A271BD" w:rsidP="0075728A">
            <w:pPr>
              <w:jc w:val="both"/>
            </w:pPr>
            <w:r w:rsidRPr="00A271BD">
              <w:t>3 000 mg/kg</w:t>
            </w:r>
          </w:p>
        </w:tc>
      </w:tr>
      <w:tr w:rsidR="0075728A" w:rsidRPr="00C8531F" w14:paraId="008651AD" w14:textId="77777777" w:rsidTr="00A271BD">
        <w:tc>
          <w:tcPr>
            <w:tcW w:w="4708" w:type="dxa"/>
          </w:tcPr>
          <w:p w14:paraId="2AED317E" w14:textId="77777777" w:rsidR="00A271BD" w:rsidRDefault="00A271BD" w:rsidP="00A271BD">
            <w:pPr>
              <w:jc w:val="both"/>
            </w:pPr>
            <w:r>
              <w:t>1,4,5,8-tetraaminoanthraquinone; C.I. Dis</w:t>
            </w:r>
          </w:p>
          <w:p w14:paraId="16377621" w14:textId="6890689E" w:rsidR="0075728A" w:rsidRPr="00C8531F" w:rsidRDefault="00A271BD" w:rsidP="00A271BD">
            <w:pPr>
              <w:jc w:val="both"/>
            </w:pPr>
            <w:r>
              <w:t>perse Blue 1</w:t>
            </w:r>
          </w:p>
        </w:tc>
        <w:tc>
          <w:tcPr>
            <w:tcW w:w="4308" w:type="dxa"/>
          </w:tcPr>
          <w:p w14:paraId="68BB9D16" w14:textId="40D7C816" w:rsidR="0075728A" w:rsidRPr="00C8531F" w:rsidRDefault="00A271BD" w:rsidP="0075728A">
            <w:pPr>
              <w:jc w:val="both"/>
            </w:pPr>
            <w:r w:rsidRPr="00A271BD">
              <w:t>50 mg/kg</w:t>
            </w:r>
          </w:p>
        </w:tc>
      </w:tr>
      <w:tr w:rsidR="0075728A" w:rsidRPr="00C8531F" w14:paraId="408F4783" w14:textId="77777777" w:rsidTr="00A271BD">
        <w:tc>
          <w:tcPr>
            <w:tcW w:w="4708" w:type="dxa"/>
          </w:tcPr>
          <w:p w14:paraId="3BF816EA" w14:textId="227BC30E" w:rsidR="0075728A" w:rsidRPr="00C8531F" w:rsidRDefault="00A271BD" w:rsidP="00A271BD">
            <w:proofErr w:type="spellStart"/>
            <w:r>
              <w:t>Benzenamine</w:t>
            </w:r>
            <w:proofErr w:type="spellEnd"/>
            <w:r>
              <w:t xml:space="preserve">, 4,4′-(4-iminocyclohexa- 2,5- </w:t>
            </w:r>
            <w:proofErr w:type="spellStart"/>
            <w:proofErr w:type="gramStart"/>
            <w:r>
              <w:t>dienylidenemethylene</w:t>
            </w:r>
            <w:proofErr w:type="spellEnd"/>
            <w:r>
              <w:t>)</w:t>
            </w:r>
            <w:proofErr w:type="spellStart"/>
            <w:r>
              <w:t>dianiline</w:t>
            </w:r>
            <w:proofErr w:type="spellEnd"/>
            <w:proofErr w:type="gramEnd"/>
            <w:r>
              <w:t xml:space="preserve"> hydrochloride; C.I. Basic Red 9</w:t>
            </w:r>
          </w:p>
        </w:tc>
        <w:tc>
          <w:tcPr>
            <w:tcW w:w="4308" w:type="dxa"/>
          </w:tcPr>
          <w:p w14:paraId="3793EA46" w14:textId="1E39A859" w:rsidR="0075728A" w:rsidRPr="00C8531F" w:rsidRDefault="00A271BD" w:rsidP="0075728A">
            <w:pPr>
              <w:jc w:val="both"/>
            </w:pPr>
            <w:r w:rsidRPr="00A271BD">
              <w:t>50 mg/kg</w:t>
            </w:r>
          </w:p>
        </w:tc>
      </w:tr>
      <w:tr w:rsidR="0075728A" w:rsidRPr="00C8531F" w14:paraId="58F0A1E4" w14:textId="77777777" w:rsidTr="00A271BD">
        <w:tc>
          <w:tcPr>
            <w:tcW w:w="4708" w:type="dxa"/>
          </w:tcPr>
          <w:p w14:paraId="53B73C63" w14:textId="38990BB8" w:rsidR="0075728A" w:rsidRPr="00C8531F" w:rsidRDefault="00A271BD" w:rsidP="00A271BD">
            <w:r>
              <w:t>[4-[4,4′-bis(dimethylamino)</w:t>
            </w:r>
            <w:proofErr w:type="gramStart"/>
            <w:r>
              <w:t>benzhydrylidene]cyclohexa</w:t>
            </w:r>
            <w:proofErr w:type="gramEnd"/>
            <w:r>
              <w:t>-2,5-dien-1-</w:t>
            </w:r>
            <w:proofErr w:type="gramStart"/>
            <w:r>
              <w:t>ylidene]dimethylammonium</w:t>
            </w:r>
            <w:proofErr w:type="gramEnd"/>
            <w:r>
              <w:t xml:space="preserve"> </w:t>
            </w:r>
            <w:r>
              <w:lastRenderedPageBreak/>
              <w:t>chloride; C.I. Basic Violet 3 with ≥ 0,1 % of Michler's ketone (EC no. 202-027-5)</w:t>
            </w:r>
          </w:p>
        </w:tc>
        <w:tc>
          <w:tcPr>
            <w:tcW w:w="4308" w:type="dxa"/>
          </w:tcPr>
          <w:p w14:paraId="37948CF7" w14:textId="0D965214" w:rsidR="0075728A" w:rsidRPr="00C8531F" w:rsidRDefault="00A271BD" w:rsidP="0075728A">
            <w:pPr>
              <w:jc w:val="both"/>
            </w:pPr>
            <w:r w:rsidRPr="00A271BD">
              <w:lastRenderedPageBreak/>
              <w:t>50 mg/kg</w:t>
            </w:r>
          </w:p>
        </w:tc>
      </w:tr>
      <w:tr w:rsidR="0075728A" w:rsidRPr="00C8531F" w14:paraId="5CFDEB60" w14:textId="77777777" w:rsidTr="00A271BD">
        <w:tc>
          <w:tcPr>
            <w:tcW w:w="4708" w:type="dxa"/>
          </w:tcPr>
          <w:p w14:paraId="227F9094" w14:textId="4C62C400" w:rsidR="0075728A" w:rsidRPr="00C8531F" w:rsidRDefault="00A271BD" w:rsidP="0075728A">
            <w:pPr>
              <w:jc w:val="both"/>
            </w:pPr>
            <w:r w:rsidRPr="00A271BD">
              <w:t>4-chloro-</w:t>
            </w:r>
            <w:r w:rsidRPr="00A271BD">
              <w:rPr>
                <w:i/>
                <w:iCs/>
              </w:rPr>
              <w:t>o</w:t>
            </w:r>
            <w:r w:rsidRPr="00A271BD">
              <w:t>-toluidinium chloride</w:t>
            </w:r>
          </w:p>
        </w:tc>
        <w:tc>
          <w:tcPr>
            <w:tcW w:w="4308" w:type="dxa"/>
          </w:tcPr>
          <w:p w14:paraId="12DA550F" w14:textId="757B7851" w:rsidR="0075728A" w:rsidRPr="00C8531F" w:rsidRDefault="00A271BD" w:rsidP="0075728A">
            <w:pPr>
              <w:jc w:val="both"/>
            </w:pPr>
            <w:r w:rsidRPr="00A271BD">
              <w:t>30 mg/kg</w:t>
            </w:r>
          </w:p>
        </w:tc>
      </w:tr>
      <w:tr w:rsidR="0075728A" w:rsidRPr="00C8531F" w14:paraId="455896B2" w14:textId="77777777" w:rsidTr="00A271BD">
        <w:tc>
          <w:tcPr>
            <w:tcW w:w="4708" w:type="dxa"/>
          </w:tcPr>
          <w:p w14:paraId="143BB44B" w14:textId="0D43B718" w:rsidR="0075728A" w:rsidRPr="00C8531F" w:rsidRDefault="00A271BD" w:rsidP="0075728A">
            <w:pPr>
              <w:jc w:val="both"/>
            </w:pPr>
            <w:r w:rsidRPr="00A271BD">
              <w:t>2-Naphthylammoniumacetate</w:t>
            </w:r>
          </w:p>
        </w:tc>
        <w:tc>
          <w:tcPr>
            <w:tcW w:w="4308" w:type="dxa"/>
          </w:tcPr>
          <w:p w14:paraId="518062BC" w14:textId="7D0853CA" w:rsidR="0075728A" w:rsidRPr="00C8531F" w:rsidRDefault="00A271BD" w:rsidP="0075728A">
            <w:pPr>
              <w:jc w:val="both"/>
            </w:pPr>
            <w:r w:rsidRPr="00A271BD">
              <w:t>30 mg/kg</w:t>
            </w:r>
          </w:p>
        </w:tc>
      </w:tr>
      <w:tr w:rsidR="0075728A" w:rsidRPr="00C8531F" w14:paraId="6F4D3ACF" w14:textId="77777777" w:rsidTr="00A271BD">
        <w:tc>
          <w:tcPr>
            <w:tcW w:w="4708" w:type="dxa"/>
          </w:tcPr>
          <w:p w14:paraId="729A00AE" w14:textId="26FE3FE8" w:rsidR="0075728A" w:rsidRPr="00C8531F" w:rsidRDefault="00A271BD" w:rsidP="00A271BD">
            <w:r>
              <w:t>4-methoxy-</w:t>
            </w:r>
            <w:r w:rsidRPr="00A271BD">
              <w:rPr>
                <w:i/>
                <w:iCs/>
              </w:rPr>
              <w:t>m</w:t>
            </w:r>
            <w:r>
              <w:t>-phenylene diammonium sulphate; 2,4-diaminoanisole sulphate</w:t>
            </w:r>
          </w:p>
        </w:tc>
        <w:tc>
          <w:tcPr>
            <w:tcW w:w="4308" w:type="dxa"/>
          </w:tcPr>
          <w:p w14:paraId="19190122" w14:textId="637EAE6A" w:rsidR="0075728A" w:rsidRPr="00C8531F" w:rsidRDefault="00A271BD" w:rsidP="0075728A">
            <w:pPr>
              <w:jc w:val="both"/>
            </w:pPr>
            <w:r w:rsidRPr="00A271BD">
              <w:t>30 mg/kg</w:t>
            </w:r>
          </w:p>
        </w:tc>
      </w:tr>
      <w:tr w:rsidR="0075728A" w:rsidRPr="00C8531F" w14:paraId="78E19825" w14:textId="77777777" w:rsidTr="00A271BD">
        <w:tc>
          <w:tcPr>
            <w:tcW w:w="4708" w:type="dxa"/>
          </w:tcPr>
          <w:p w14:paraId="00D5FFA7" w14:textId="7055A33D" w:rsidR="0075728A" w:rsidRPr="00C8531F" w:rsidRDefault="00A271BD" w:rsidP="0075728A">
            <w:pPr>
              <w:jc w:val="both"/>
            </w:pPr>
            <w:r w:rsidRPr="00A271BD">
              <w:t>2,4,5-trimethylaniline hydrochloride</w:t>
            </w:r>
          </w:p>
        </w:tc>
        <w:tc>
          <w:tcPr>
            <w:tcW w:w="4308" w:type="dxa"/>
          </w:tcPr>
          <w:p w14:paraId="2CBD653D" w14:textId="62172BEA" w:rsidR="0075728A" w:rsidRPr="00C8531F" w:rsidRDefault="00A271BD" w:rsidP="0075728A">
            <w:pPr>
              <w:jc w:val="both"/>
            </w:pPr>
            <w:r w:rsidRPr="00A271BD">
              <w:t>30 mg/kg</w:t>
            </w:r>
          </w:p>
        </w:tc>
      </w:tr>
      <w:tr w:rsidR="00A271BD" w:rsidRPr="00C8531F" w14:paraId="443A4D7D" w14:textId="77777777" w:rsidTr="00A271BD">
        <w:tc>
          <w:tcPr>
            <w:tcW w:w="4708" w:type="dxa"/>
          </w:tcPr>
          <w:p w14:paraId="470CABBB" w14:textId="6639D471" w:rsidR="00A271BD" w:rsidRPr="00A271BD" w:rsidRDefault="00A271BD" w:rsidP="0075728A">
            <w:pPr>
              <w:jc w:val="both"/>
            </w:pPr>
            <w:r w:rsidRPr="00A271BD">
              <w:t>Quinoline</w:t>
            </w:r>
          </w:p>
        </w:tc>
        <w:tc>
          <w:tcPr>
            <w:tcW w:w="4308" w:type="dxa"/>
          </w:tcPr>
          <w:p w14:paraId="4C250B96" w14:textId="4010AF80" w:rsidR="00A271BD" w:rsidRPr="00A271BD" w:rsidRDefault="00A271BD" w:rsidP="0075728A">
            <w:pPr>
              <w:jc w:val="both"/>
            </w:pPr>
            <w:r w:rsidRPr="00A271BD">
              <w:t>50 mg/kg</w:t>
            </w:r>
          </w:p>
        </w:tc>
      </w:tr>
    </w:tbl>
    <w:p w14:paraId="28814F0B" w14:textId="77777777" w:rsidR="0075728A" w:rsidRDefault="0075728A" w:rsidP="0075728A">
      <w:pPr>
        <w:jc w:val="both"/>
      </w:pPr>
    </w:p>
    <w:p w14:paraId="22B4422F" w14:textId="785BC5BC" w:rsidR="00A42DEB" w:rsidRDefault="00A60792" w:rsidP="00A42DEB">
      <w:r>
        <w:br w:type="page"/>
      </w:r>
    </w:p>
    <w:p w14:paraId="71622EF8" w14:textId="1A40C5BE" w:rsidR="00460DEB" w:rsidRDefault="00460DEB" w:rsidP="00460DEB">
      <w:pPr>
        <w:pStyle w:val="Heading2"/>
      </w:pPr>
      <w:hyperlink r:id="rId8" w:history="1">
        <w:r w:rsidRPr="00A42DEB">
          <w:rPr>
            <w:rStyle w:val="Hyperlink"/>
          </w:rPr>
          <w:t xml:space="preserve">COMMISSION REGULATION (EU) </w:t>
        </w:r>
        <w:r w:rsidRPr="00A42DEB">
          <w:rPr>
            <w:rStyle w:val="Hyperlink"/>
          </w:rPr>
          <w:t>2</w:t>
        </w:r>
        <w:r w:rsidRPr="00A42DEB">
          <w:rPr>
            <w:rStyle w:val="Hyperlink"/>
          </w:rPr>
          <w:t>01</w:t>
        </w:r>
        <w:r w:rsidRPr="00A42DEB">
          <w:rPr>
            <w:rStyle w:val="Hyperlink"/>
          </w:rPr>
          <w:t>6</w:t>
        </w:r>
        <w:r w:rsidRPr="00A42DEB">
          <w:rPr>
            <w:rStyle w:val="Hyperlink"/>
          </w:rPr>
          <w:t>/26</w:t>
        </w:r>
      </w:hyperlink>
    </w:p>
    <w:p w14:paraId="15EE4691" w14:textId="4B800832" w:rsidR="00460DEB" w:rsidRDefault="00A42DEB" w:rsidP="00460DEB">
      <w:r w:rsidRPr="00A42DEB">
        <w:t>In Annex XVII to Regulation (EC) No 1907/2006, the following new entry 46a is added</w:t>
      </w:r>
      <w:r>
        <w:t>:</w:t>
      </w:r>
    </w:p>
    <w:tbl>
      <w:tblPr>
        <w:tblStyle w:val="TableGrid"/>
        <w:tblW w:w="0" w:type="auto"/>
        <w:tblLook w:val="04A0" w:firstRow="1" w:lastRow="0" w:firstColumn="1" w:lastColumn="0" w:noHBand="0" w:noVBand="1"/>
      </w:tblPr>
      <w:tblGrid>
        <w:gridCol w:w="2122"/>
        <w:gridCol w:w="6894"/>
      </w:tblGrid>
      <w:tr w:rsidR="00A42DEB" w14:paraId="3426FE7B" w14:textId="77777777" w:rsidTr="00A42DEB">
        <w:tc>
          <w:tcPr>
            <w:tcW w:w="2122" w:type="dxa"/>
          </w:tcPr>
          <w:p w14:paraId="3E8F8FD5" w14:textId="77777777" w:rsidR="000843DC" w:rsidRDefault="00A42DEB" w:rsidP="00A42DEB">
            <w:r>
              <w:t>46a.</w:t>
            </w:r>
          </w:p>
          <w:p w14:paraId="423D9262" w14:textId="3A934374" w:rsidR="00A42DEB" w:rsidRDefault="00A42DEB" w:rsidP="00A42DEB">
            <w:r>
              <w:t>Nonylphenol ethoxylates (NPE)</w:t>
            </w:r>
          </w:p>
          <w:p w14:paraId="4F25916B" w14:textId="77777777" w:rsidR="00A42DEB" w:rsidRDefault="00A42DEB" w:rsidP="00A42DEB">
            <w:r>
              <w:t>(C</w:t>
            </w:r>
            <w:r w:rsidRPr="00A42DEB">
              <w:rPr>
                <w:vertAlign w:val="subscript"/>
              </w:rPr>
              <w:t>2</w:t>
            </w:r>
            <w:r>
              <w:t>H</w:t>
            </w:r>
            <w:r w:rsidRPr="00A42DEB">
              <w:rPr>
                <w:vertAlign w:val="subscript"/>
              </w:rPr>
              <w:t>4</w:t>
            </w:r>
            <w:proofErr w:type="gramStart"/>
            <w:r>
              <w:t>O)</w:t>
            </w:r>
            <w:r w:rsidRPr="00A42DEB">
              <w:rPr>
                <w:vertAlign w:val="subscript"/>
              </w:rPr>
              <w:t>n</w:t>
            </w:r>
            <w:r>
              <w:t>C</w:t>
            </w:r>
            <w:proofErr w:type="gramEnd"/>
            <w:r w:rsidRPr="00A42DEB">
              <w:rPr>
                <w:vertAlign w:val="subscript"/>
              </w:rPr>
              <w:t>15</w:t>
            </w:r>
            <w:r>
              <w:t>H</w:t>
            </w:r>
            <w:r w:rsidRPr="00A42DEB">
              <w:rPr>
                <w:vertAlign w:val="subscript"/>
              </w:rPr>
              <w:t>24</w:t>
            </w:r>
            <w:r>
              <w:t>O</w:t>
            </w:r>
          </w:p>
          <w:p w14:paraId="274F947E" w14:textId="5752CCDB" w:rsidR="00A42DEB" w:rsidRDefault="00A42DEB" w:rsidP="00A42DEB"/>
        </w:tc>
        <w:tc>
          <w:tcPr>
            <w:tcW w:w="6894" w:type="dxa"/>
          </w:tcPr>
          <w:p w14:paraId="04D6A993" w14:textId="7C652ECC" w:rsidR="00A42DEB" w:rsidRDefault="00A42DEB" w:rsidP="00A42DEB">
            <w:pPr>
              <w:jc w:val="both"/>
            </w:pPr>
            <w:r>
              <w:t xml:space="preserve">1. Shall not be placed on the market after 3 February 2021 in </w:t>
            </w:r>
            <w:r w:rsidRPr="008416FF">
              <w:rPr>
                <w:b/>
                <w:bCs/>
              </w:rPr>
              <w:t>textile</w:t>
            </w:r>
            <w:r w:rsidR="008F3DFA" w:rsidRPr="008416FF">
              <w:rPr>
                <w:b/>
                <w:bCs/>
              </w:rPr>
              <w:t xml:space="preserve"> </w:t>
            </w:r>
            <w:r w:rsidRPr="008416FF">
              <w:rPr>
                <w:b/>
                <w:bCs/>
              </w:rPr>
              <w:t>articles</w:t>
            </w:r>
            <w:r>
              <w:t xml:space="preserve"> which can reasonably be expected to be washed in water during their normal lifecycle, in concentrations equal to or greater</w:t>
            </w:r>
            <w:r w:rsidR="008F3DFA">
              <w:t xml:space="preserve"> </w:t>
            </w:r>
            <w:r>
              <w:t>than 0,01 %</w:t>
            </w:r>
            <w:r w:rsidR="008F3DFA">
              <w:t xml:space="preserve"> </w:t>
            </w:r>
            <w:r>
              <w:t>by weight of that textile article or of each part of the textile article.</w:t>
            </w:r>
          </w:p>
          <w:p w14:paraId="4DF9A73C" w14:textId="77777777" w:rsidR="00A42DEB" w:rsidRDefault="00A42DEB" w:rsidP="00A42DEB">
            <w:pPr>
              <w:jc w:val="both"/>
            </w:pPr>
          </w:p>
          <w:p w14:paraId="3BAC25DB" w14:textId="201D0C8A" w:rsidR="00A42DEB" w:rsidRDefault="00A42DEB" w:rsidP="00A42DEB">
            <w:pPr>
              <w:jc w:val="both"/>
            </w:pPr>
            <w:r>
              <w:t xml:space="preserve">2. Paragraph 1 shall not apply to the placing on the market of second-hand </w:t>
            </w:r>
            <w:r w:rsidRPr="008416FF">
              <w:rPr>
                <w:b/>
                <w:bCs/>
              </w:rPr>
              <w:t>textile articles</w:t>
            </w:r>
            <w:r>
              <w:t xml:space="preserve"> or of new textile articles produced, without the</w:t>
            </w:r>
            <w:r w:rsidR="008F3DFA">
              <w:t xml:space="preserve"> </w:t>
            </w:r>
            <w:r>
              <w:t>use of NPE, exclusively from recycled textiles.</w:t>
            </w:r>
          </w:p>
          <w:p w14:paraId="5213FB79" w14:textId="77777777" w:rsidR="00A42DEB" w:rsidRDefault="00A42DEB" w:rsidP="00A42DEB">
            <w:pPr>
              <w:jc w:val="both"/>
            </w:pPr>
          </w:p>
          <w:p w14:paraId="330078CC" w14:textId="0BADDED7" w:rsidR="00A42DEB" w:rsidRDefault="00A42DEB" w:rsidP="00A42DEB">
            <w:pPr>
              <w:jc w:val="both"/>
            </w:pPr>
            <w:r>
              <w:t>3. For the purposes of paragraphs 1 and 2, “</w:t>
            </w:r>
            <w:r w:rsidRPr="008416FF">
              <w:rPr>
                <w:b/>
                <w:bCs/>
              </w:rPr>
              <w:t>textile article</w:t>
            </w:r>
            <w:r>
              <w:t>” means any unfinished, semi-finished or finished product which is composed of at least 80 % textile fibres by weight, or any other product that contains a part which is composed of at least 80 % textile fibres by weight, including products such as clothing, accessories, interior textiles, fibres, yarn, fabrics and knitted panels.</w:t>
            </w:r>
          </w:p>
        </w:tc>
      </w:tr>
    </w:tbl>
    <w:p w14:paraId="3ECF16EE" w14:textId="77777777" w:rsidR="00A42DEB" w:rsidRDefault="00A42DEB" w:rsidP="00460DEB"/>
    <w:p w14:paraId="048658A4" w14:textId="77777777" w:rsidR="00A42DEB" w:rsidRDefault="00A42DEB" w:rsidP="00460DEB"/>
    <w:p w14:paraId="6714F10C" w14:textId="55829A2C" w:rsidR="00A42DEB" w:rsidRDefault="008F3DFA" w:rsidP="008F3DFA">
      <w:pPr>
        <w:pStyle w:val="Heading2"/>
      </w:pPr>
      <w:hyperlink r:id="rId9" w:history="1">
        <w:r w:rsidRPr="000843DC">
          <w:rPr>
            <w:rStyle w:val="Hyperlink"/>
          </w:rPr>
          <w:t xml:space="preserve">COMMISSION REGULATION (EU) </w:t>
        </w:r>
        <w:r w:rsidRPr="000843DC">
          <w:rPr>
            <w:rStyle w:val="Hyperlink"/>
          </w:rPr>
          <w:t>2</w:t>
        </w:r>
        <w:r w:rsidRPr="000843DC">
          <w:rPr>
            <w:rStyle w:val="Hyperlink"/>
          </w:rPr>
          <w:t>021/2</w:t>
        </w:r>
        <w:r w:rsidRPr="000843DC">
          <w:rPr>
            <w:rStyle w:val="Hyperlink"/>
          </w:rPr>
          <w:t>0</w:t>
        </w:r>
        <w:r w:rsidRPr="000843DC">
          <w:rPr>
            <w:rStyle w:val="Hyperlink"/>
          </w:rPr>
          <w:t>30</w:t>
        </w:r>
      </w:hyperlink>
    </w:p>
    <w:p w14:paraId="0EE51096" w14:textId="5F43DA10" w:rsidR="008F3DFA" w:rsidRPr="008F3DFA" w:rsidRDefault="008F3DFA" w:rsidP="008F3DFA">
      <w:r w:rsidRPr="008F3DFA">
        <w:t>In Annex XVII to Regulation (EC) No 1907/2006, the following entry is added:</w:t>
      </w:r>
    </w:p>
    <w:tbl>
      <w:tblPr>
        <w:tblStyle w:val="TableGrid"/>
        <w:tblW w:w="0" w:type="auto"/>
        <w:tblLook w:val="04A0" w:firstRow="1" w:lastRow="0" w:firstColumn="1" w:lastColumn="0" w:noHBand="0" w:noVBand="1"/>
      </w:tblPr>
      <w:tblGrid>
        <w:gridCol w:w="2122"/>
        <w:gridCol w:w="6894"/>
      </w:tblGrid>
      <w:tr w:rsidR="008F3DFA" w14:paraId="3B2BF72E" w14:textId="77777777" w:rsidTr="008F3DFA">
        <w:tc>
          <w:tcPr>
            <w:tcW w:w="2122" w:type="dxa"/>
          </w:tcPr>
          <w:p w14:paraId="57A3674F" w14:textId="77777777" w:rsidR="008F3DFA" w:rsidRDefault="008F3DFA" w:rsidP="008F3DFA">
            <w:r>
              <w:t>76.</w:t>
            </w:r>
          </w:p>
          <w:p w14:paraId="32BF3790" w14:textId="77777777" w:rsidR="008F3DFA" w:rsidRDefault="008F3DFA" w:rsidP="008F3DFA">
            <w:proofErr w:type="gramStart"/>
            <w:r w:rsidRPr="008F3DFA">
              <w:rPr>
                <w:i/>
                <w:iCs/>
              </w:rPr>
              <w:t>N,N</w:t>
            </w:r>
            <w:proofErr w:type="gramEnd"/>
            <w:r>
              <w:t>-dimethylformamide</w:t>
            </w:r>
          </w:p>
          <w:p w14:paraId="6CC35E6F" w14:textId="77777777" w:rsidR="008F3DFA" w:rsidRDefault="008F3DFA" w:rsidP="008F3DFA">
            <w:r>
              <w:t>CAS No 68-12-2</w:t>
            </w:r>
          </w:p>
          <w:p w14:paraId="5D7642B0" w14:textId="1E0AC156" w:rsidR="008F3DFA" w:rsidRDefault="008F3DFA" w:rsidP="008F3DFA">
            <w:r>
              <w:t>EC. No 200-679-5</w:t>
            </w:r>
          </w:p>
        </w:tc>
        <w:tc>
          <w:tcPr>
            <w:tcW w:w="6894" w:type="dxa"/>
          </w:tcPr>
          <w:p w14:paraId="676850AC" w14:textId="06D55842" w:rsidR="008F3DFA" w:rsidRDefault="008F3DFA" w:rsidP="008F3DFA">
            <w:pPr>
              <w:jc w:val="both"/>
            </w:pPr>
            <w:r>
              <w:t>1. Shall not be placed on the market as a substance on its own, as a constituent of other substances, or in mixtures in a concentration equal to or greater than 0,3 % after 12 December 2023 unless manufacturers, importers and downstream users have included in the relevant chemical safety reports and safety data sheets, Derived No-Effect Levels (DNELs) relating to exposure of workers of 6 mg/m3 for exposure by inhalation and 1,1 mg/kg/day for dermal exposure.</w:t>
            </w:r>
          </w:p>
          <w:p w14:paraId="55791854" w14:textId="77777777" w:rsidR="008F3DFA" w:rsidRDefault="008F3DFA" w:rsidP="008F3DFA">
            <w:pPr>
              <w:jc w:val="both"/>
            </w:pPr>
          </w:p>
          <w:p w14:paraId="070B0185" w14:textId="0C495512" w:rsidR="008F3DFA" w:rsidRDefault="008F3DFA" w:rsidP="008F3DFA">
            <w:pPr>
              <w:jc w:val="both"/>
            </w:pPr>
            <w:r>
              <w:t>2. Shall not be manufactured, or used, as a substance on its own, as a constituent of other substances, or in mixtures in a concentration equal to or greater than 0,3 % after 12 December 2023 unless manufacturers and downstream users</w:t>
            </w:r>
          </w:p>
          <w:p w14:paraId="7C2E428E" w14:textId="7851D567" w:rsidR="008F3DFA" w:rsidRDefault="008F3DFA" w:rsidP="008F3DFA">
            <w:pPr>
              <w:jc w:val="both"/>
            </w:pPr>
            <w:r>
              <w:t>take the appropriate risk management measures and provide the appropriate operational conditions to ensure that exposure of workers is below the DNELs specified in paragraph 1.</w:t>
            </w:r>
          </w:p>
          <w:p w14:paraId="7B62CAD9" w14:textId="77777777" w:rsidR="008F3DFA" w:rsidRDefault="008F3DFA" w:rsidP="008F3DFA">
            <w:pPr>
              <w:jc w:val="both"/>
            </w:pPr>
          </w:p>
          <w:p w14:paraId="1CE93F3E" w14:textId="2643E3A4" w:rsidR="008F3DFA" w:rsidRDefault="008F3DFA" w:rsidP="008F3DFA">
            <w:pPr>
              <w:jc w:val="both"/>
            </w:pPr>
            <w:r>
              <w:t xml:space="preserve">3. By way of derogation from paragraphs 1 and 2, the obligations laid down therein shall apply from 12 December 2024 in relation to placing on the market for use, or use, as a solvent in direct or transfer polyurethane coating processes of textiles and paper material or the production of polyurethane membranes, and from 12 December 2025 in relation to placing on the market for use, or use, as a solvent in the dry and wet spinning processes of </w:t>
            </w:r>
            <w:r w:rsidRPr="008F3DFA">
              <w:rPr>
                <w:b/>
                <w:bCs/>
              </w:rPr>
              <w:t>synthetic fibres</w:t>
            </w:r>
            <w:r>
              <w:t>.</w:t>
            </w:r>
          </w:p>
        </w:tc>
      </w:tr>
    </w:tbl>
    <w:p w14:paraId="3BDCFCE2" w14:textId="77777777" w:rsidR="008F3DFA" w:rsidRDefault="008F3DFA" w:rsidP="008F3DFA"/>
    <w:p w14:paraId="3C954D2F" w14:textId="77777777" w:rsidR="000843DC" w:rsidRDefault="000843DC" w:rsidP="008F3DFA"/>
    <w:p w14:paraId="21012674" w14:textId="2E5A46D3" w:rsidR="000843DC" w:rsidRDefault="000843DC" w:rsidP="000843DC">
      <w:pPr>
        <w:pStyle w:val="Heading2"/>
      </w:pPr>
      <w:hyperlink r:id="rId10" w:history="1">
        <w:r w:rsidRPr="00A60792">
          <w:rPr>
            <w:rStyle w:val="Hyperlink"/>
          </w:rPr>
          <w:t>COMMISSION REGULATION (EU) 2</w:t>
        </w:r>
        <w:r w:rsidRPr="00A60792">
          <w:rPr>
            <w:rStyle w:val="Hyperlink"/>
          </w:rPr>
          <w:t>0</w:t>
        </w:r>
        <w:r w:rsidRPr="00A60792">
          <w:rPr>
            <w:rStyle w:val="Hyperlink"/>
          </w:rPr>
          <w:t>24/2462</w:t>
        </w:r>
      </w:hyperlink>
    </w:p>
    <w:p w14:paraId="1B168799" w14:textId="2FD2FD69" w:rsidR="000843DC" w:rsidRDefault="000843DC" w:rsidP="000843DC">
      <w:r w:rsidRPr="000843DC">
        <w:t>In Annex XVII to Regulation (EC) No 1907/2006, the following entry is added:</w:t>
      </w:r>
    </w:p>
    <w:tbl>
      <w:tblPr>
        <w:tblStyle w:val="TableGrid"/>
        <w:tblW w:w="0" w:type="auto"/>
        <w:tblLook w:val="04A0" w:firstRow="1" w:lastRow="0" w:firstColumn="1" w:lastColumn="0" w:noHBand="0" w:noVBand="1"/>
      </w:tblPr>
      <w:tblGrid>
        <w:gridCol w:w="3823"/>
        <w:gridCol w:w="5193"/>
      </w:tblGrid>
      <w:tr w:rsidR="000843DC" w:rsidRPr="00943619" w14:paraId="0AE31EA1" w14:textId="77777777" w:rsidTr="005A4EAB">
        <w:tc>
          <w:tcPr>
            <w:tcW w:w="3823" w:type="dxa"/>
          </w:tcPr>
          <w:p w14:paraId="79B4F397" w14:textId="77777777" w:rsidR="000843DC" w:rsidRDefault="000843DC" w:rsidP="000843DC">
            <w:pPr>
              <w:jc w:val="both"/>
            </w:pPr>
            <w:r>
              <w:t xml:space="preserve">79. </w:t>
            </w:r>
          </w:p>
          <w:p w14:paraId="44E40E70" w14:textId="310A9FAF" w:rsidR="000843DC" w:rsidRDefault="000843DC" w:rsidP="000843DC">
            <w:pPr>
              <w:jc w:val="both"/>
            </w:pPr>
            <w:proofErr w:type="spellStart"/>
            <w:r>
              <w:t>Undecafluorohexanoic</w:t>
            </w:r>
            <w:proofErr w:type="spellEnd"/>
            <w:r>
              <w:t xml:space="preserve"> acid (</w:t>
            </w:r>
            <w:proofErr w:type="spellStart"/>
            <w:r>
              <w:t>PFHxA</w:t>
            </w:r>
            <w:proofErr w:type="spellEnd"/>
            <w:r>
              <w:t xml:space="preserve">), its salts and </w:t>
            </w:r>
            <w:proofErr w:type="spellStart"/>
            <w:r>
              <w:t>PFHxA</w:t>
            </w:r>
            <w:proofErr w:type="spellEnd"/>
            <w:r>
              <w:t>-related substances:</w:t>
            </w:r>
          </w:p>
          <w:p w14:paraId="7356F9D3" w14:textId="567FE2F4" w:rsidR="000843DC" w:rsidRDefault="000843DC" w:rsidP="000843DC">
            <w:pPr>
              <w:ind w:left="720"/>
              <w:jc w:val="both"/>
            </w:pPr>
            <w:r>
              <w:t xml:space="preserve">(a) having a linear or branched </w:t>
            </w:r>
            <w:proofErr w:type="spellStart"/>
            <w:r>
              <w:t>perfluoropentyl</w:t>
            </w:r>
            <w:proofErr w:type="spellEnd"/>
            <w:r>
              <w:t xml:space="preserve"> group with the formula C</w:t>
            </w:r>
            <w:r w:rsidRPr="000843DC">
              <w:rPr>
                <w:vertAlign w:val="subscript"/>
              </w:rPr>
              <w:t>5</w:t>
            </w:r>
            <w:r>
              <w:t>F</w:t>
            </w:r>
            <w:r w:rsidRPr="000843DC">
              <w:rPr>
                <w:vertAlign w:val="subscript"/>
              </w:rPr>
              <w:t>11</w:t>
            </w:r>
            <w:r>
              <w:t xml:space="preserve"> - directly attached to another carbon atom as one of the structural elements; or</w:t>
            </w:r>
          </w:p>
          <w:p w14:paraId="67B981D8" w14:textId="315FBC57" w:rsidR="000843DC" w:rsidRDefault="000843DC" w:rsidP="000843DC">
            <w:pPr>
              <w:ind w:left="720"/>
              <w:jc w:val="both"/>
            </w:pPr>
            <w:r>
              <w:t>(b) having a linear or branched perfluorohexyl group with the formula C</w:t>
            </w:r>
            <w:r w:rsidRPr="000843DC">
              <w:rPr>
                <w:vertAlign w:val="subscript"/>
              </w:rPr>
              <w:t>6</w:t>
            </w:r>
            <w:r>
              <w:t>F</w:t>
            </w:r>
            <w:r w:rsidRPr="000843DC">
              <w:rPr>
                <w:vertAlign w:val="subscript"/>
              </w:rPr>
              <w:t>13</w:t>
            </w:r>
            <w:r>
              <w:t>-.</w:t>
            </w:r>
          </w:p>
          <w:p w14:paraId="7CE5D383" w14:textId="77777777" w:rsidR="000843DC" w:rsidRDefault="000843DC" w:rsidP="000843DC">
            <w:pPr>
              <w:jc w:val="both"/>
            </w:pPr>
          </w:p>
          <w:p w14:paraId="52B72C16" w14:textId="0CDFB315" w:rsidR="000843DC" w:rsidRDefault="000843DC" w:rsidP="000843DC">
            <w:pPr>
              <w:jc w:val="both"/>
            </w:pPr>
            <w:r>
              <w:t>The following substances are excluded from</w:t>
            </w:r>
          </w:p>
          <w:p w14:paraId="5823220E" w14:textId="77777777" w:rsidR="000843DC" w:rsidRDefault="000843DC" w:rsidP="000843DC">
            <w:pPr>
              <w:jc w:val="both"/>
            </w:pPr>
            <w:r>
              <w:t>this designation:</w:t>
            </w:r>
          </w:p>
          <w:p w14:paraId="56DE59A9" w14:textId="01255A7A" w:rsidR="000843DC" w:rsidRDefault="000843DC" w:rsidP="000843DC">
            <w:pPr>
              <w:ind w:left="720"/>
              <w:jc w:val="both"/>
            </w:pPr>
            <w:r>
              <w:t xml:space="preserve">(a) </w:t>
            </w:r>
            <w:proofErr w:type="gramStart"/>
            <w:r>
              <w:t>C</w:t>
            </w:r>
            <w:r w:rsidRPr="000843DC">
              <w:rPr>
                <w:vertAlign w:val="subscript"/>
              </w:rPr>
              <w:t>6</w:t>
            </w:r>
            <w:r>
              <w:t>F</w:t>
            </w:r>
            <w:r w:rsidRPr="000843DC">
              <w:rPr>
                <w:vertAlign w:val="subscript"/>
              </w:rPr>
              <w:t>14</w:t>
            </w:r>
            <w:r>
              <w:t>;</w:t>
            </w:r>
            <w:proofErr w:type="gramEnd"/>
          </w:p>
          <w:p w14:paraId="2B229BC9" w14:textId="2D5D7420" w:rsidR="000843DC" w:rsidRDefault="000843DC" w:rsidP="007E41D1">
            <w:pPr>
              <w:ind w:left="720"/>
            </w:pPr>
            <w:r>
              <w:t>(b)</w:t>
            </w:r>
            <w:r w:rsidR="007E41D1">
              <w:t xml:space="preserve"> </w:t>
            </w:r>
            <w:r>
              <w:t>C</w:t>
            </w:r>
            <w:r w:rsidRPr="000843DC">
              <w:rPr>
                <w:vertAlign w:val="subscript"/>
              </w:rPr>
              <w:t>6</w:t>
            </w:r>
            <w:r>
              <w:t>F</w:t>
            </w:r>
            <w:r w:rsidRPr="000843DC">
              <w:rPr>
                <w:vertAlign w:val="subscript"/>
              </w:rPr>
              <w:t>13</w:t>
            </w:r>
            <w:r>
              <w:t>-C(=</w:t>
            </w:r>
            <w:proofErr w:type="gramStart"/>
            <w:r>
              <w:t>O)OH</w:t>
            </w:r>
            <w:proofErr w:type="gramEnd"/>
            <w:r>
              <w:t xml:space="preserve">, </w:t>
            </w:r>
            <w:r w:rsidR="007E41D1">
              <w:t xml:space="preserve">            </w:t>
            </w:r>
            <w:r>
              <w:t>C</w:t>
            </w:r>
            <w:r w:rsidRPr="000843DC">
              <w:rPr>
                <w:vertAlign w:val="subscript"/>
              </w:rPr>
              <w:t>6</w:t>
            </w:r>
            <w:r>
              <w:t>F</w:t>
            </w:r>
            <w:r w:rsidRPr="000843DC">
              <w:rPr>
                <w:vertAlign w:val="subscript"/>
              </w:rPr>
              <w:t>13</w:t>
            </w:r>
            <w:r>
              <w:t>-C(=</w:t>
            </w:r>
            <w:proofErr w:type="gramStart"/>
            <w:r>
              <w:t>O)O</w:t>
            </w:r>
            <w:proofErr w:type="gramEnd"/>
            <w:r>
              <w:t>-X′ or</w:t>
            </w:r>
          </w:p>
          <w:p w14:paraId="68A226B2" w14:textId="1B11A99B" w:rsidR="000843DC" w:rsidRDefault="000843DC" w:rsidP="000843DC">
            <w:pPr>
              <w:ind w:left="720"/>
              <w:jc w:val="both"/>
            </w:pPr>
            <w:r>
              <w:t>C</w:t>
            </w:r>
            <w:r w:rsidRPr="000843DC">
              <w:rPr>
                <w:vertAlign w:val="subscript"/>
              </w:rPr>
              <w:t>6</w:t>
            </w:r>
            <w:r>
              <w:t>F</w:t>
            </w:r>
            <w:r w:rsidRPr="000843DC">
              <w:rPr>
                <w:vertAlign w:val="subscript"/>
              </w:rPr>
              <w:t>13</w:t>
            </w:r>
            <w:r>
              <w:t>-CF</w:t>
            </w:r>
            <w:r w:rsidRPr="000843DC">
              <w:rPr>
                <w:vertAlign w:val="subscript"/>
              </w:rPr>
              <w:t>2</w:t>
            </w:r>
            <w:r>
              <w:t>-X′ (where X′ = any group, including salts</w:t>
            </w:r>
            <w:proofErr w:type="gramStart"/>
            <w:r>
              <w:t>);</w:t>
            </w:r>
            <w:proofErr w:type="gramEnd"/>
          </w:p>
          <w:p w14:paraId="46BFD610" w14:textId="6C1C185E" w:rsidR="000843DC" w:rsidRDefault="000843DC" w:rsidP="000843DC">
            <w:pPr>
              <w:ind w:left="720"/>
              <w:jc w:val="both"/>
            </w:pPr>
            <w:r>
              <w:t>(c) any substance having a perfluoroalkyl group C</w:t>
            </w:r>
            <w:r w:rsidRPr="000843DC">
              <w:rPr>
                <w:vertAlign w:val="subscript"/>
              </w:rPr>
              <w:t>6</w:t>
            </w:r>
            <w:r>
              <w:t>F</w:t>
            </w:r>
            <w:r w:rsidRPr="000843DC">
              <w:rPr>
                <w:vertAlign w:val="subscript"/>
              </w:rPr>
              <w:t>13</w:t>
            </w:r>
            <w:r>
              <w:t>- directly attached to an oxygen atom at one of the non-terminal carbon atoms.</w:t>
            </w:r>
          </w:p>
        </w:tc>
        <w:tc>
          <w:tcPr>
            <w:tcW w:w="5193" w:type="dxa"/>
          </w:tcPr>
          <w:p w14:paraId="6BCFA878" w14:textId="559F9808" w:rsidR="000843DC" w:rsidRDefault="000843DC" w:rsidP="00943619">
            <w:pPr>
              <w:jc w:val="both"/>
            </w:pPr>
            <w:r>
              <w:t>1. Shall not, from 10 October 2026 be placed on the market, or</w:t>
            </w:r>
            <w:r w:rsidR="00943619">
              <w:t xml:space="preserve"> </w:t>
            </w:r>
            <w:r>
              <w:t>used, in a concentration equal to or greater than 25 ppb for the</w:t>
            </w:r>
            <w:r w:rsidR="00943619">
              <w:t xml:space="preserve"> </w:t>
            </w:r>
            <w:r>
              <w:t xml:space="preserve">sum of </w:t>
            </w:r>
            <w:proofErr w:type="spellStart"/>
            <w:r>
              <w:t>PFHxA</w:t>
            </w:r>
            <w:proofErr w:type="spellEnd"/>
            <w:r>
              <w:t xml:space="preserve"> and its salts, or 1000 ppb for the sum of </w:t>
            </w:r>
            <w:proofErr w:type="spellStart"/>
            <w:r>
              <w:t>PFHxA</w:t>
            </w:r>
            <w:proofErr w:type="spellEnd"/>
            <w:r>
              <w:t>-related substances, measured in homogeneous material, in the</w:t>
            </w:r>
            <w:r w:rsidR="00943619">
              <w:t xml:space="preserve"> </w:t>
            </w:r>
            <w:r>
              <w:t>following:</w:t>
            </w:r>
          </w:p>
          <w:p w14:paraId="577A4C34" w14:textId="0F58A5A7" w:rsidR="000843DC" w:rsidRDefault="000843DC" w:rsidP="00943619">
            <w:pPr>
              <w:ind w:left="720"/>
              <w:jc w:val="both"/>
            </w:pPr>
            <w:r>
              <w:t xml:space="preserve">(a) </w:t>
            </w:r>
            <w:r w:rsidRPr="000C3BC3">
              <w:rPr>
                <w:b/>
                <w:bCs/>
              </w:rPr>
              <w:t>textiles, leather, furs and hides in clothing and related</w:t>
            </w:r>
            <w:r w:rsidR="00943619" w:rsidRPr="000C3BC3">
              <w:rPr>
                <w:b/>
                <w:bCs/>
              </w:rPr>
              <w:t xml:space="preserve"> </w:t>
            </w:r>
            <w:r w:rsidRPr="000C3BC3">
              <w:rPr>
                <w:b/>
                <w:bCs/>
              </w:rPr>
              <w:t>accessories</w:t>
            </w:r>
            <w:r>
              <w:t xml:space="preserve"> for the general </w:t>
            </w:r>
            <w:proofErr w:type="gramStart"/>
            <w:r>
              <w:t>public;</w:t>
            </w:r>
            <w:proofErr w:type="gramEnd"/>
          </w:p>
          <w:p w14:paraId="09CA4B73" w14:textId="77777777" w:rsidR="000843DC" w:rsidRDefault="000843DC" w:rsidP="00943619">
            <w:pPr>
              <w:ind w:left="720"/>
              <w:jc w:val="both"/>
            </w:pPr>
            <w:r>
              <w:t xml:space="preserve">(b) </w:t>
            </w:r>
            <w:r w:rsidRPr="000C3BC3">
              <w:rPr>
                <w:b/>
                <w:bCs/>
              </w:rPr>
              <w:t>footwear</w:t>
            </w:r>
            <w:r>
              <w:t xml:space="preserve"> for the general </w:t>
            </w:r>
            <w:proofErr w:type="gramStart"/>
            <w:r>
              <w:t>public;</w:t>
            </w:r>
            <w:proofErr w:type="gramEnd"/>
          </w:p>
          <w:p w14:paraId="63459510" w14:textId="299CC9D3" w:rsidR="000843DC" w:rsidRDefault="000843DC" w:rsidP="00943619">
            <w:pPr>
              <w:ind w:left="720"/>
              <w:jc w:val="both"/>
            </w:pPr>
            <w:r>
              <w:t>(c) paper and cardboard used as food contact materials within</w:t>
            </w:r>
            <w:r w:rsidR="00943619">
              <w:t xml:space="preserve"> </w:t>
            </w:r>
            <w:r>
              <w:t xml:space="preserve">the scope of Regulation (EC) No </w:t>
            </w:r>
            <w:proofErr w:type="gramStart"/>
            <w:r>
              <w:t>1935/2004;</w:t>
            </w:r>
            <w:proofErr w:type="gramEnd"/>
          </w:p>
          <w:p w14:paraId="7F74643F" w14:textId="77777777" w:rsidR="000843DC" w:rsidRDefault="000843DC" w:rsidP="00943619">
            <w:pPr>
              <w:ind w:left="720"/>
              <w:jc w:val="both"/>
            </w:pPr>
            <w:r>
              <w:t xml:space="preserve">(d) mixtures for the general </w:t>
            </w:r>
            <w:proofErr w:type="gramStart"/>
            <w:r>
              <w:t>public;</w:t>
            </w:r>
            <w:proofErr w:type="gramEnd"/>
          </w:p>
          <w:p w14:paraId="605C95E5" w14:textId="73FE45D4" w:rsidR="000843DC" w:rsidRDefault="000843DC" w:rsidP="00943619">
            <w:pPr>
              <w:ind w:left="720"/>
              <w:jc w:val="both"/>
            </w:pPr>
            <w:r>
              <w:t>(e) cosmetic products as defined in Article 2(1), point (a), of</w:t>
            </w:r>
            <w:r w:rsidR="00943619">
              <w:t xml:space="preserve"> </w:t>
            </w:r>
            <w:r>
              <w:t>Regulation (EC) No 1223/2009.</w:t>
            </w:r>
          </w:p>
          <w:p w14:paraId="62889DFE" w14:textId="77777777" w:rsidR="00943619" w:rsidRDefault="00943619" w:rsidP="00943619">
            <w:pPr>
              <w:jc w:val="both"/>
            </w:pPr>
          </w:p>
          <w:p w14:paraId="226C0C0F" w14:textId="66985A9F" w:rsidR="000843DC" w:rsidRDefault="000843DC" w:rsidP="00943619">
            <w:pPr>
              <w:jc w:val="both"/>
            </w:pPr>
            <w:r>
              <w:t>2. Shall not, from 10 October 2027 be placed on the market, or</w:t>
            </w:r>
            <w:r w:rsidR="00943619">
              <w:t xml:space="preserve"> </w:t>
            </w:r>
            <w:r>
              <w:t>used, in a concentration equal to or greater than 25 ppb for the</w:t>
            </w:r>
            <w:r w:rsidR="00943619">
              <w:t xml:space="preserve"> </w:t>
            </w:r>
            <w:r>
              <w:t xml:space="preserve">sum of </w:t>
            </w:r>
            <w:proofErr w:type="spellStart"/>
            <w:r>
              <w:t>PFHxA</w:t>
            </w:r>
            <w:proofErr w:type="spellEnd"/>
            <w:r>
              <w:t xml:space="preserve"> and its salts, or 1000 ppb for the sum of </w:t>
            </w:r>
            <w:proofErr w:type="spellStart"/>
            <w:r>
              <w:t>PFHxA</w:t>
            </w:r>
            <w:proofErr w:type="spellEnd"/>
            <w:r>
              <w:t>-related substances, measured in homogeneous material, in</w:t>
            </w:r>
            <w:r w:rsidR="00943619">
              <w:t xml:space="preserve"> </w:t>
            </w:r>
            <w:r w:rsidRPr="000C3BC3">
              <w:rPr>
                <w:b/>
                <w:bCs/>
              </w:rPr>
              <w:t>textiles</w:t>
            </w:r>
            <w:r>
              <w:t xml:space="preserve">, </w:t>
            </w:r>
            <w:r w:rsidRPr="000C3BC3">
              <w:rPr>
                <w:b/>
                <w:bCs/>
              </w:rPr>
              <w:t>leather, furs and hides, other than in clothing</w:t>
            </w:r>
            <w:r>
              <w:t xml:space="preserve"> </w:t>
            </w:r>
            <w:r w:rsidRPr="000C3BC3">
              <w:rPr>
                <w:b/>
                <w:bCs/>
              </w:rPr>
              <w:t>and related</w:t>
            </w:r>
            <w:r w:rsidR="00943619" w:rsidRPr="000C3BC3">
              <w:rPr>
                <w:b/>
                <w:bCs/>
              </w:rPr>
              <w:t xml:space="preserve"> </w:t>
            </w:r>
            <w:r w:rsidRPr="000C3BC3">
              <w:rPr>
                <w:b/>
                <w:bCs/>
              </w:rPr>
              <w:t xml:space="preserve">accessories </w:t>
            </w:r>
            <w:r>
              <w:t>referred to in paragraph 1, for the general public.</w:t>
            </w:r>
          </w:p>
          <w:p w14:paraId="40245CCF" w14:textId="77777777" w:rsidR="00943619" w:rsidRDefault="00943619" w:rsidP="00943619">
            <w:pPr>
              <w:jc w:val="both"/>
            </w:pPr>
          </w:p>
          <w:p w14:paraId="26175EF6" w14:textId="77777777" w:rsidR="000843DC" w:rsidRDefault="000843DC" w:rsidP="00943619">
            <w:pPr>
              <w:jc w:val="both"/>
            </w:pPr>
            <w:r>
              <w:t>3. Paragraphs 1 and 2 shall not apply to the following:</w:t>
            </w:r>
          </w:p>
          <w:p w14:paraId="356CF99F" w14:textId="1E911E4D" w:rsidR="000843DC" w:rsidRDefault="000843DC" w:rsidP="00943619">
            <w:pPr>
              <w:ind w:left="720"/>
              <w:jc w:val="both"/>
            </w:pPr>
            <w:r>
              <w:t>(a) personal protective equipment intended to protect users</w:t>
            </w:r>
            <w:r w:rsidR="00943619">
              <w:t xml:space="preserve"> </w:t>
            </w:r>
            <w:r>
              <w:t>against risks within the scope of risk category III, points (a),</w:t>
            </w:r>
            <w:r w:rsidR="00943619">
              <w:t xml:space="preserve"> </w:t>
            </w:r>
            <w:r>
              <w:t xml:space="preserve">(c) to (f), (h), and (l) of Annex I to Regulation (EU) </w:t>
            </w:r>
            <w:proofErr w:type="gramStart"/>
            <w:r>
              <w:t>2016/425;</w:t>
            </w:r>
            <w:proofErr w:type="gramEnd"/>
          </w:p>
          <w:p w14:paraId="30B12227" w14:textId="11F6BA1B" w:rsidR="000843DC" w:rsidRDefault="000843DC" w:rsidP="00943619">
            <w:pPr>
              <w:ind w:left="720"/>
              <w:jc w:val="both"/>
            </w:pPr>
            <w:r>
              <w:t>(b) devices within the scope of Regulation (EU)</w:t>
            </w:r>
            <w:r w:rsidR="00943619">
              <w:t xml:space="preserve"> </w:t>
            </w:r>
            <w:proofErr w:type="gramStart"/>
            <w:r>
              <w:t>2017/745;</w:t>
            </w:r>
            <w:proofErr w:type="gramEnd"/>
          </w:p>
          <w:p w14:paraId="16780065" w14:textId="77777777" w:rsidR="000843DC" w:rsidRDefault="000843DC" w:rsidP="00943619">
            <w:pPr>
              <w:ind w:left="720"/>
              <w:jc w:val="both"/>
            </w:pPr>
            <w:r>
              <w:t xml:space="preserve">(c) devices within the scope of Regulation (EU) </w:t>
            </w:r>
            <w:proofErr w:type="gramStart"/>
            <w:r>
              <w:t>2017/746;</w:t>
            </w:r>
            <w:proofErr w:type="gramEnd"/>
          </w:p>
          <w:p w14:paraId="14B3EE72" w14:textId="77777777" w:rsidR="000843DC" w:rsidRDefault="000843DC" w:rsidP="00943619">
            <w:pPr>
              <w:ind w:left="720"/>
              <w:jc w:val="both"/>
            </w:pPr>
            <w:r>
              <w:t>(d) textiles used as construction textiles.</w:t>
            </w:r>
          </w:p>
          <w:p w14:paraId="76D5D511" w14:textId="77777777" w:rsidR="00943619" w:rsidRDefault="00943619" w:rsidP="00943619">
            <w:pPr>
              <w:jc w:val="both"/>
            </w:pPr>
          </w:p>
          <w:p w14:paraId="28C2085C" w14:textId="6525275B" w:rsidR="000843DC" w:rsidRDefault="000843DC" w:rsidP="00943619">
            <w:pPr>
              <w:jc w:val="both"/>
            </w:pPr>
            <w:r>
              <w:t>4. Shall not, from 10 April 2026 be placed on the market, or used, in</w:t>
            </w:r>
            <w:r w:rsidR="00943619">
              <w:t xml:space="preserve"> </w:t>
            </w:r>
            <w:r>
              <w:t>a concentration equal to or greater than 25 ppb for the sum of</w:t>
            </w:r>
            <w:r w:rsidR="00943619">
              <w:t xml:space="preserve"> </w:t>
            </w:r>
            <w:proofErr w:type="spellStart"/>
            <w:r>
              <w:t>PFHxA</w:t>
            </w:r>
            <w:proofErr w:type="spellEnd"/>
            <w:r>
              <w:t xml:space="preserve"> and its salts, or 1000 ppb for the sum of </w:t>
            </w:r>
            <w:proofErr w:type="spellStart"/>
            <w:r>
              <w:t>PFHxA</w:t>
            </w:r>
            <w:proofErr w:type="spellEnd"/>
            <w:r>
              <w:t>-related</w:t>
            </w:r>
            <w:r w:rsidR="00943619">
              <w:t xml:space="preserve"> </w:t>
            </w:r>
            <w:r>
              <w:t>substances, in:</w:t>
            </w:r>
          </w:p>
          <w:p w14:paraId="726548E8" w14:textId="1168ADA2" w:rsidR="000843DC" w:rsidRDefault="000843DC" w:rsidP="00943619">
            <w:pPr>
              <w:ind w:left="720"/>
              <w:jc w:val="both"/>
            </w:pPr>
            <w:r>
              <w:t xml:space="preserve">(a) firefighting foams and firefighting </w:t>
            </w:r>
            <w:proofErr w:type="gramStart"/>
            <w:r>
              <w:t>foam</w:t>
            </w:r>
            <w:proofErr w:type="gramEnd"/>
            <w:r>
              <w:t xml:space="preserve"> concentrates for</w:t>
            </w:r>
            <w:r w:rsidR="00943619">
              <w:t xml:space="preserve"> </w:t>
            </w:r>
            <w:r>
              <w:t>training and for testing, except functional testing of the</w:t>
            </w:r>
            <w:r w:rsidR="00943619">
              <w:t xml:space="preserve"> </w:t>
            </w:r>
            <w:r>
              <w:t xml:space="preserve">firefighting systems provided that all releases are </w:t>
            </w:r>
            <w:proofErr w:type="gramStart"/>
            <w:r>
              <w:t>contained;</w:t>
            </w:r>
            <w:proofErr w:type="gramEnd"/>
          </w:p>
          <w:p w14:paraId="1F34F130" w14:textId="775F7614" w:rsidR="000843DC" w:rsidRDefault="000843DC" w:rsidP="00943619">
            <w:pPr>
              <w:ind w:left="720"/>
              <w:jc w:val="both"/>
            </w:pPr>
            <w:r>
              <w:lastRenderedPageBreak/>
              <w:t xml:space="preserve">(b) firefighting foams and firefighting </w:t>
            </w:r>
            <w:proofErr w:type="gramStart"/>
            <w:r>
              <w:t>foam</w:t>
            </w:r>
            <w:proofErr w:type="gramEnd"/>
            <w:r>
              <w:t xml:space="preserve"> concentrates for</w:t>
            </w:r>
            <w:r w:rsidR="00943619">
              <w:t xml:space="preserve"> </w:t>
            </w:r>
            <w:r>
              <w:t>public fire services, except where those services intervene at</w:t>
            </w:r>
            <w:r w:rsidR="00943619">
              <w:t xml:space="preserve"> </w:t>
            </w:r>
            <w:r>
              <w:t>industrial fires at establishments covered by Directive</w:t>
            </w:r>
            <w:r w:rsidR="00943619">
              <w:t xml:space="preserve"> </w:t>
            </w:r>
            <w:r>
              <w:t>2012/18/EU of the European Parliament and of the</w:t>
            </w:r>
            <w:r w:rsidR="00943619">
              <w:t xml:space="preserve"> </w:t>
            </w:r>
            <w:r>
              <w:t>Council (*) and they use the foams and the equipment for that</w:t>
            </w:r>
            <w:r w:rsidR="00943619">
              <w:t xml:space="preserve"> </w:t>
            </w:r>
            <w:r>
              <w:t>purpose only.</w:t>
            </w:r>
          </w:p>
          <w:p w14:paraId="0B815173" w14:textId="77777777" w:rsidR="00943619" w:rsidRDefault="00943619" w:rsidP="00943619">
            <w:pPr>
              <w:jc w:val="both"/>
            </w:pPr>
          </w:p>
          <w:p w14:paraId="42C2844E" w14:textId="5D63B83B" w:rsidR="000843DC" w:rsidRDefault="000843DC" w:rsidP="00943619">
            <w:pPr>
              <w:jc w:val="both"/>
            </w:pPr>
            <w:r>
              <w:t>5. Shall not, from 10 October 2029 be placed on the market, or</w:t>
            </w:r>
            <w:r w:rsidR="00943619">
              <w:t xml:space="preserve"> </w:t>
            </w:r>
            <w:r>
              <w:t>used, in firefighting foams and firefighting foam concentrates for</w:t>
            </w:r>
            <w:r w:rsidR="00943619">
              <w:t xml:space="preserve"> </w:t>
            </w:r>
            <w:r>
              <w:t>civil aviation (including in civilian airports) in a concentration</w:t>
            </w:r>
            <w:r w:rsidR="00943619">
              <w:t xml:space="preserve"> </w:t>
            </w:r>
            <w:r>
              <w:t xml:space="preserve">equal to or greater than 25 ppb for the sum of </w:t>
            </w:r>
            <w:proofErr w:type="spellStart"/>
            <w:r>
              <w:t>PFHxA</w:t>
            </w:r>
            <w:proofErr w:type="spellEnd"/>
            <w:r>
              <w:t xml:space="preserve"> and its salts,</w:t>
            </w:r>
            <w:r w:rsidR="00943619">
              <w:t xml:space="preserve"> </w:t>
            </w:r>
            <w:r>
              <w:t xml:space="preserve">or 1000 ppb for the sum of </w:t>
            </w:r>
            <w:proofErr w:type="spellStart"/>
            <w:r>
              <w:t>PFHxA</w:t>
            </w:r>
            <w:proofErr w:type="spellEnd"/>
            <w:r>
              <w:t>-related substances.</w:t>
            </w:r>
          </w:p>
          <w:p w14:paraId="0EC98FCF" w14:textId="77777777" w:rsidR="00943619" w:rsidRDefault="00943619" w:rsidP="00943619">
            <w:pPr>
              <w:jc w:val="both"/>
            </w:pPr>
          </w:p>
          <w:p w14:paraId="7976B18A" w14:textId="69BDEB6F" w:rsidR="000843DC" w:rsidRDefault="000843DC" w:rsidP="00943619">
            <w:pPr>
              <w:jc w:val="both"/>
            </w:pPr>
            <w:r>
              <w:t>6. Paragraphs 1, 2, 4 and 5 shall not apply to substances having a</w:t>
            </w:r>
            <w:r w:rsidR="00943619">
              <w:t xml:space="preserve"> </w:t>
            </w:r>
            <w:r>
              <w:t>perfluoroalkyl group C</w:t>
            </w:r>
            <w:r w:rsidRPr="00943619">
              <w:rPr>
                <w:vertAlign w:val="subscript"/>
              </w:rPr>
              <w:t>6</w:t>
            </w:r>
            <w:r>
              <w:t>F</w:t>
            </w:r>
            <w:r w:rsidR="00943619" w:rsidRPr="00943619">
              <w:rPr>
                <w:vertAlign w:val="subscript"/>
              </w:rPr>
              <w:t>1</w:t>
            </w:r>
            <w:r w:rsidRPr="00943619">
              <w:rPr>
                <w:vertAlign w:val="subscript"/>
              </w:rPr>
              <w:t>3</w:t>
            </w:r>
            <w:r>
              <w:t>- directly attached to a sulphur atom</w:t>
            </w:r>
            <w:r w:rsidR="00943619">
              <w:t xml:space="preserve"> </w:t>
            </w:r>
            <w:r>
              <w:t>that are prohibited in Annex I to Regulation (EU) 2019/1021 of</w:t>
            </w:r>
            <w:r w:rsidR="00943619">
              <w:t xml:space="preserve"> </w:t>
            </w:r>
            <w:r>
              <w:t>the European Parliament and of the Council (**).</w:t>
            </w:r>
          </w:p>
          <w:p w14:paraId="6B7F35DE" w14:textId="77777777" w:rsidR="00943619" w:rsidRDefault="00943619" w:rsidP="00943619">
            <w:pPr>
              <w:jc w:val="both"/>
            </w:pPr>
          </w:p>
          <w:p w14:paraId="797D7B88" w14:textId="0C1E5BAD" w:rsidR="000843DC" w:rsidRDefault="000843DC" w:rsidP="00943619">
            <w:pPr>
              <w:jc w:val="both"/>
            </w:pPr>
            <w:r>
              <w:t>7. By way of derogation from paragraph 1, that paragraph shall not</w:t>
            </w:r>
            <w:r w:rsidR="00943619">
              <w:t xml:space="preserve"> </w:t>
            </w:r>
            <w:r>
              <w:t>apply to articles and mixtures which were placed on the market</w:t>
            </w:r>
            <w:r w:rsidR="00943619">
              <w:t xml:space="preserve"> </w:t>
            </w:r>
            <w:r>
              <w:t>before 10 October 2026.</w:t>
            </w:r>
          </w:p>
          <w:p w14:paraId="039E4F15" w14:textId="77777777" w:rsidR="00943619" w:rsidRDefault="00943619" w:rsidP="00943619">
            <w:pPr>
              <w:jc w:val="both"/>
            </w:pPr>
          </w:p>
          <w:p w14:paraId="5A4C3212" w14:textId="20180AC9" w:rsidR="000843DC" w:rsidRDefault="000843DC" w:rsidP="00943619">
            <w:pPr>
              <w:jc w:val="both"/>
            </w:pPr>
            <w:r>
              <w:t>8. By way of derogation from paragraph 2, that paragraph shall not</w:t>
            </w:r>
            <w:r w:rsidR="00943619">
              <w:t xml:space="preserve"> </w:t>
            </w:r>
            <w:r>
              <w:t>apply to articles which were placed on the market before</w:t>
            </w:r>
            <w:r w:rsidR="00943619">
              <w:t xml:space="preserve"> </w:t>
            </w:r>
            <w:r>
              <w:t>10 October 2027.</w:t>
            </w:r>
          </w:p>
          <w:p w14:paraId="3F1BA6CA" w14:textId="77777777" w:rsidR="00943619" w:rsidRDefault="00943619" w:rsidP="00943619">
            <w:pPr>
              <w:jc w:val="both"/>
            </w:pPr>
          </w:p>
          <w:p w14:paraId="601171AB" w14:textId="045D2937" w:rsidR="000843DC" w:rsidRDefault="000843DC" w:rsidP="00943619">
            <w:pPr>
              <w:jc w:val="both"/>
            </w:pPr>
            <w:r>
              <w:t xml:space="preserve">9. For the purposes of this entry, </w:t>
            </w:r>
            <w:proofErr w:type="spellStart"/>
            <w:r>
              <w:t>PFHxA</w:t>
            </w:r>
            <w:proofErr w:type="spellEnd"/>
            <w:r>
              <w:t>-related substances are</w:t>
            </w:r>
            <w:r w:rsidR="00943619">
              <w:t xml:space="preserve"> </w:t>
            </w:r>
            <w:r>
              <w:t>substances that, based on their molecular structure, are</w:t>
            </w:r>
            <w:r w:rsidR="00943619">
              <w:t xml:space="preserve"> </w:t>
            </w:r>
            <w:r>
              <w:t>considered to have the potential to degrade or be transformed to</w:t>
            </w:r>
            <w:r w:rsidR="00943619">
              <w:t xml:space="preserve"> </w:t>
            </w:r>
            <w:proofErr w:type="spellStart"/>
            <w:r>
              <w:t>PFHxA</w:t>
            </w:r>
            <w:proofErr w:type="spellEnd"/>
            <w:r>
              <w:t>.</w:t>
            </w:r>
          </w:p>
          <w:p w14:paraId="4EFAB21A" w14:textId="77777777" w:rsidR="000843DC" w:rsidRDefault="000843DC" w:rsidP="00943619">
            <w:pPr>
              <w:jc w:val="both"/>
            </w:pPr>
          </w:p>
          <w:p w14:paraId="08EE84A0" w14:textId="5945491B" w:rsidR="000843DC" w:rsidRDefault="000843DC" w:rsidP="00943619">
            <w:pPr>
              <w:jc w:val="both"/>
            </w:pPr>
            <w:r>
              <w:t>6. Paragraphs 1, 2, 4 and 5 shall not apply to substances having a</w:t>
            </w:r>
            <w:r w:rsidR="00943619">
              <w:t xml:space="preserve"> </w:t>
            </w:r>
            <w:r>
              <w:t>perfluoroalkyl group C</w:t>
            </w:r>
            <w:r w:rsidRPr="00943619">
              <w:rPr>
                <w:vertAlign w:val="subscript"/>
              </w:rPr>
              <w:t>6</w:t>
            </w:r>
            <w:r>
              <w:t>F</w:t>
            </w:r>
            <w:r w:rsidRPr="00943619">
              <w:rPr>
                <w:vertAlign w:val="subscript"/>
              </w:rPr>
              <w:t>13</w:t>
            </w:r>
            <w:r>
              <w:t>- directly attached to a sulphur atom</w:t>
            </w:r>
            <w:r w:rsidR="00943619">
              <w:t xml:space="preserve"> </w:t>
            </w:r>
            <w:r>
              <w:t>that are prohibited in Annex I to Regulation (EU) 2019/1021 of</w:t>
            </w:r>
            <w:r w:rsidR="00943619">
              <w:t xml:space="preserve"> </w:t>
            </w:r>
            <w:r>
              <w:t>the European Parliament and of the Council (**).</w:t>
            </w:r>
          </w:p>
          <w:p w14:paraId="27A932F2" w14:textId="77777777" w:rsidR="00943619" w:rsidRDefault="00943619" w:rsidP="00943619">
            <w:pPr>
              <w:jc w:val="both"/>
            </w:pPr>
          </w:p>
          <w:p w14:paraId="23164545" w14:textId="44C0AFF0" w:rsidR="000843DC" w:rsidRDefault="000843DC" w:rsidP="00943619">
            <w:pPr>
              <w:jc w:val="both"/>
            </w:pPr>
            <w:r>
              <w:t>7. By way of derogation from paragraph 1, that paragraph shall not</w:t>
            </w:r>
            <w:r w:rsidR="00943619">
              <w:t xml:space="preserve"> </w:t>
            </w:r>
            <w:r>
              <w:t>apply to articles and mixtures which were placed on the market</w:t>
            </w:r>
            <w:r w:rsidR="00943619">
              <w:t xml:space="preserve"> </w:t>
            </w:r>
            <w:r>
              <w:t>before 10 October 2026.</w:t>
            </w:r>
          </w:p>
          <w:p w14:paraId="05DF4E27" w14:textId="77777777" w:rsidR="00943619" w:rsidRDefault="00943619" w:rsidP="00943619">
            <w:pPr>
              <w:jc w:val="both"/>
            </w:pPr>
          </w:p>
          <w:p w14:paraId="6B0591BE" w14:textId="56893FB1" w:rsidR="000843DC" w:rsidRDefault="000843DC" w:rsidP="00943619">
            <w:pPr>
              <w:jc w:val="both"/>
            </w:pPr>
            <w:r>
              <w:t>8. By way of derogation from paragraph 2, that paragraph shall not</w:t>
            </w:r>
            <w:r w:rsidR="00943619">
              <w:t xml:space="preserve"> </w:t>
            </w:r>
            <w:r>
              <w:t>apply to articles which were placed on the market before</w:t>
            </w:r>
            <w:r w:rsidR="00943619">
              <w:t xml:space="preserve"> </w:t>
            </w:r>
            <w:r>
              <w:t>10 October 2027.</w:t>
            </w:r>
          </w:p>
          <w:p w14:paraId="1A8EA398" w14:textId="77777777" w:rsidR="00943619" w:rsidRDefault="00943619" w:rsidP="00943619">
            <w:pPr>
              <w:jc w:val="both"/>
            </w:pPr>
          </w:p>
          <w:p w14:paraId="2AE532D0" w14:textId="500587DD" w:rsidR="000843DC" w:rsidRDefault="000843DC" w:rsidP="00943619">
            <w:pPr>
              <w:jc w:val="both"/>
            </w:pPr>
            <w:r>
              <w:lastRenderedPageBreak/>
              <w:t xml:space="preserve">9. For the purposes of this entry, </w:t>
            </w:r>
            <w:proofErr w:type="spellStart"/>
            <w:r>
              <w:t>PFHxA</w:t>
            </w:r>
            <w:proofErr w:type="spellEnd"/>
            <w:r>
              <w:t>-related substances are</w:t>
            </w:r>
            <w:r w:rsidR="00943619">
              <w:t xml:space="preserve"> </w:t>
            </w:r>
            <w:r>
              <w:t>substances that, based on their molecular structure, are</w:t>
            </w:r>
            <w:r w:rsidR="00943619">
              <w:t xml:space="preserve"> </w:t>
            </w:r>
            <w:r>
              <w:t>considered to have the potential to degrade or be transformed to</w:t>
            </w:r>
            <w:r w:rsidR="00943619">
              <w:t xml:space="preserve"> </w:t>
            </w:r>
            <w:proofErr w:type="spellStart"/>
            <w:r>
              <w:t>PFHxA</w:t>
            </w:r>
            <w:proofErr w:type="spellEnd"/>
            <w:r>
              <w:t>.</w:t>
            </w:r>
          </w:p>
          <w:p w14:paraId="73009B5D" w14:textId="77777777" w:rsidR="00943619" w:rsidRDefault="00943619" w:rsidP="00943619">
            <w:pPr>
              <w:jc w:val="both"/>
            </w:pPr>
          </w:p>
          <w:p w14:paraId="5794B3B0" w14:textId="77777777" w:rsidR="00943619" w:rsidRDefault="00943619" w:rsidP="00943619">
            <w:pPr>
              <w:jc w:val="both"/>
            </w:pPr>
          </w:p>
          <w:p w14:paraId="0362042A" w14:textId="4A6C11C8" w:rsidR="000843DC" w:rsidRDefault="000843DC" w:rsidP="00943619">
            <w:pPr>
              <w:jc w:val="both"/>
            </w:pPr>
            <w:r>
              <w:t>(*) Directive 2012/18/EU of the European Parliament and of the Council of 4 July 2012 on the control of major-accident hazards</w:t>
            </w:r>
            <w:r w:rsidR="00943619">
              <w:t xml:space="preserve"> </w:t>
            </w:r>
            <w:r>
              <w:t>involving dangerous substances, amending and subsequently repealing Council Directive 96/82/EC (OJ L 197, 24.7.2012, p. 1, ELI:</w:t>
            </w:r>
            <w:r w:rsidR="00943619">
              <w:t xml:space="preserve"> </w:t>
            </w:r>
            <w:hyperlink r:id="rId11" w:history="1">
              <w:r w:rsidR="00943619" w:rsidRPr="0019148E">
                <w:rPr>
                  <w:rStyle w:val="Hyperlink"/>
                </w:rPr>
                <w:t>http://data.europa.eu/eli/dir/2012/18/oj</w:t>
              </w:r>
            </w:hyperlink>
            <w:r>
              <w:t>).</w:t>
            </w:r>
          </w:p>
          <w:p w14:paraId="6D96326F" w14:textId="77777777" w:rsidR="00943619" w:rsidRDefault="00943619" w:rsidP="000843DC"/>
          <w:p w14:paraId="4883FF3A" w14:textId="19837FA8" w:rsidR="000843DC" w:rsidRPr="00943619" w:rsidRDefault="000843DC" w:rsidP="00943619">
            <w:pPr>
              <w:jc w:val="both"/>
            </w:pPr>
            <w:r>
              <w:t>(**) Regulation (EU) 2019/1021 of the</w:t>
            </w:r>
            <w:r w:rsidR="00943619">
              <w:t xml:space="preserve"> </w:t>
            </w:r>
            <w:r>
              <w:t>European Parliament and of the Council of 20 June 2019 on persistent organic pollutants</w:t>
            </w:r>
            <w:r w:rsidR="00943619">
              <w:t xml:space="preserve"> </w:t>
            </w:r>
            <w:r w:rsidRPr="00943619">
              <w:t>(OJ L 169, 25.6.2019, p. 45, ELI: http://data.europa.eu/eli/reg/2019/1021/oj).</w:t>
            </w:r>
          </w:p>
        </w:tc>
      </w:tr>
    </w:tbl>
    <w:p w14:paraId="4760B881" w14:textId="77777777" w:rsidR="000843DC" w:rsidRPr="00943619" w:rsidRDefault="000843DC" w:rsidP="000843DC"/>
    <w:sectPr w:rsidR="000843DC" w:rsidRPr="00943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2838"/>
    <w:multiLevelType w:val="hybridMultilevel"/>
    <w:tmpl w:val="B5AADC8A"/>
    <w:lvl w:ilvl="0" w:tplc="8BD0341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5514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EE"/>
    <w:rsid w:val="000843DC"/>
    <w:rsid w:val="000C3BC3"/>
    <w:rsid w:val="001C3F71"/>
    <w:rsid w:val="001D3DE3"/>
    <w:rsid w:val="002C279F"/>
    <w:rsid w:val="003B725A"/>
    <w:rsid w:val="00460DEB"/>
    <w:rsid w:val="005A4EAB"/>
    <w:rsid w:val="006522D3"/>
    <w:rsid w:val="006957E4"/>
    <w:rsid w:val="006C0D38"/>
    <w:rsid w:val="0075728A"/>
    <w:rsid w:val="00766B41"/>
    <w:rsid w:val="007A0432"/>
    <w:rsid w:val="007A07F6"/>
    <w:rsid w:val="007C5AB5"/>
    <w:rsid w:val="007E41D1"/>
    <w:rsid w:val="008207C0"/>
    <w:rsid w:val="008416FF"/>
    <w:rsid w:val="008F3DFA"/>
    <w:rsid w:val="00943619"/>
    <w:rsid w:val="009A183E"/>
    <w:rsid w:val="00A271BD"/>
    <w:rsid w:val="00A375CF"/>
    <w:rsid w:val="00A42DEB"/>
    <w:rsid w:val="00A60792"/>
    <w:rsid w:val="00B534D7"/>
    <w:rsid w:val="00B622EE"/>
    <w:rsid w:val="00BA2A8D"/>
    <w:rsid w:val="00C8531F"/>
    <w:rsid w:val="00E85C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4430"/>
  <w15:chartTrackingRefBased/>
  <w15:docId w15:val="{A57CA00D-C315-4FDF-AEF7-960AC5EF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28A"/>
    <w:rPr>
      <w:sz w:val="22"/>
    </w:rPr>
  </w:style>
  <w:style w:type="paragraph" w:styleId="Heading1">
    <w:name w:val="heading 1"/>
    <w:basedOn w:val="Normal"/>
    <w:next w:val="Normal"/>
    <w:link w:val="Heading1Char"/>
    <w:uiPriority w:val="9"/>
    <w:qFormat/>
    <w:rsid w:val="001C3F71"/>
    <w:pPr>
      <w:keepNext/>
      <w:keepLines/>
      <w:spacing w:before="360" w:after="80"/>
      <w:ind w:left="72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3F71"/>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B62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3F71"/>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semiHidden/>
    <w:rsid w:val="00B62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2EE"/>
    <w:rPr>
      <w:rFonts w:eastAsiaTheme="majorEastAsia" w:cstheme="majorBidi"/>
      <w:color w:val="272727" w:themeColor="text1" w:themeTint="D8"/>
    </w:rPr>
  </w:style>
  <w:style w:type="paragraph" w:styleId="Title">
    <w:name w:val="Title"/>
    <w:basedOn w:val="Normal"/>
    <w:next w:val="Normal"/>
    <w:link w:val="TitleChar"/>
    <w:uiPriority w:val="10"/>
    <w:qFormat/>
    <w:rsid w:val="00B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B622EE"/>
    <w:rPr>
      <w:i/>
      <w:iCs/>
      <w:color w:val="404040" w:themeColor="text1" w:themeTint="BF"/>
    </w:rPr>
  </w:style>
  <w:style w:type="paragraph" w:styleId="ListParagraph">
    <w:name w:val="List Paragraph"/>
    <w:basedOn w:val="Normal"/>
    <w:uiPriority w:val="34"/>
    <w:qFormat/>
    <w:rsid w:val="00B622EE"/>
    <w:pPr>
      <w:ind w:left="720"/>
      <w:contextualSpacing/>
    </w:pPr>
  </w:style>
  <w:style w:type="character" w:styleId="IntenseEmphasis">
    <w:name w:val="Intense Emphasis"/>
    <w:basedOn w:val="DefaultParagraphFont"/>
    <w:uiPriority w:val="21"/>
    <w:qFormat/>
    <w:rsid w:val="00B622EE"/>
    <w:rPr>
      <w:i/>
      <w:iCs/>
      <w:color w:val="0F4761" w:themeColor="accent1" w:themeShade="BF"/>
    </w:rPr>
  </w:style>
  <w:style w:type="paragraph" w:styleId="IntenseQuote">
    <w:name w:val="Intense Quote"/>
    <w:basedOn w:val="Normal"/>
    <w:next w:val="Normal"/>
    <w:link w:val="IntenseQuoteChar"/>
    <w:uiPriority w:val="30"/>
    <w:qFormat/>
    <w:rsid w:val="00B62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2EE"/>
    <w:rPr>
      <w:i/>
      <w:iCs/>
      <w:color w:val="0F4761" w:themeColor="accent1" w:themeShade="BF"/>
    </w:rPr>
  </w:style>
  <w:style w:type="character" w:styleId="IntenseReference">
    <w:name w:val="Intense Reference"/>
    <w:basedOn w:val="DefaultParagraphFont"/>
    <w:uiPriority w:val="32"/>
    <w:qFormat/>
    <w:rsid w:val="00B622EE"/>
    <w:rPr>
      <w:b/>
      <w:bCs/>
      <w:smallCaps/>
      <w:color w:val="0F4761" w:themeColor="accent1" w:themeShade="BF"/>
      <w:spacing w:val="5"/>
    </w:rPr>
  </w:style>
  <w:style w:type="character" w:styleId="Hyperlink">
    <w:name w:val="Hyperlink"/>
    <w:basedOn w:val="DefaultParagraphFont"/>
    <w:uiPriority w:val="99"/>
    <w:unhideWhenUsed/>
    <w:rsid w:val="00766B41"/>
    <w:rPr>
      <w:color w:val="467886" w:themeColor="hyperlink"/>
      <w:u w:val="single"/>
    </w:rPr>
  </w:style>
  <w:style w:type="character" w:styleId="UnresolvedMention">
    <w:name w:val="Unresolved Mention"/>
    <w:basedOn w:val="DefaultParagraphFont"/>
    <w:uiPriority w:val="99"/>
    <w:semiHidden/>
    <w:unhideWhenUsed/>
    <w:rsid w:val="00766B41"/>
    <w:rPr>
      <w:color w:val="605E5C"/>
      <w:shd w:val="clear" w:color="auto" w:fill="E1DFDD"/>
    </w:rPr>
  </w:style>
  <w:style w:type="table" w:styleId="TableGrid">
    <w:name w:val="Table Grid"/>
    <w:basedOn w:val="TableNormal"/>
    <w:uiPriority w:val="39"/>
    <w:rsid w:val="001C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07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6/26/oj/e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eli/reg/2018/1513/oj/e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m.echa.europa.eu/obligation-lists/restrictionList?pageIndex=1&amp;pageSize=100" TargetMode="External"/><Relationship Id="rId11" Type="http://schemas.openxmlformats.org/officeDocument/2006/relationships/hyperlink" Target="http://data.europa.eu/eli/dir/2012/18/oj" TargetMode="External"/><Relationship Id="rId5" Type="http://schemas.openxmlformats.org/officeDocument/2006/relationships/hyperlink" Target="https://eur-lex.europa.eu/legal-content/EN/TXT/?uri=OJ%3AL_202402462" TargetMode="External"/><Relationship Id="rId10" Type="http://schemas.openxmlformats.org/officeDocument/2006/relationships/hyperlink" Target="https://eur-lex.europa.eu/legal-content/EN/TXT/?uri=OJ%3AL_202402462" TargetMode="External"/><Relationship Id="rId4" Type="http://schemas.openxmlformats.org/officeDocument/2006/relationships/webSettings" Target="webSettings.xml"/><Relationship Id="rId9" Type="http://schemas.openxmlformats.org/officeDocument/2006/relationships/hyperlink" Target="https://eur-lex.europa.eu/legal-content/EN/TXT/?uri=CELEX%3A32021R2030&amp;qid=1761132521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SCHIEL</dc:creator>
  <cp:keywords/>
  <dc:description/>
  <cp:lastModifiedBy>Philippe SCHIEL</cp:lastModifiedBy>
  <cp:revision>12</cp:revision>
  <dcterms:created xsi:type="dcterms:W3CDTF">2026-02-03T08:33:00Z</dcterms:created>
  <dcterms:modified xsi:type="dcterms:W3CDTF">2026-02-09T08:29:00Z</dcterms:modified>
</cp:coreProperties>
</file>